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仿宋" w:hAnsi="仿宋" w:eastAsia="仿宋" w:cs="宋体"/>
          <w:color w:val="000000"/>
          <w:kern w:val="0"/>
          <w:sz w:val="28"/>
          <w:szCs w:val="28"/>
        </w:rPr>
      </w:pPr>
    </w:p>
    <w:p>
      <w:pPr>
        <w:adjustRightInd w:val="0"/>
        <w:snapToGrid w:val="0"/>
        <w:jc w:val="center"/>
        <w:rPr>
          <w:rFonts w:ascii="仿宋" w:hAnsi="仿宋" w:eastAsia="仿宋" w:cs="宋体"/>
          <w:color w:val="000000"/>
          <w:kern w:val="0"/>
          <w:sz w:val="28"/>
          <w:szCs w:val="28"/>
        </w:rPr>
      </w:pPr>
    </w:p>
    <w:p>
      <w:pPr>
        <w:adjustRightInd w:val="0"/>
        <w:snapToGrid w:val="0"/>
        <w:jc w:val="center"/>
        <w:rPr>
          <w:rFonts w:ascii="仿宋" w:hAnsi="仿宋" w:eastAsia="仿宋" w:cs="宋体"/>
          <w:color w:val="000000"/>
          <w:kern w:val="0"/>
          <w:sz w:val="28"/>
          <w:szCs w:val="28"/>
        </w:rPr>
      </w:pPr>
    </w:p>
    <w:p>
      <w:pPr>
        <w:adjustRightInd w:val="0"/>
        <w:snapToGrid w:val="0"/>
        <w:jc w:val="center"/>
        <w:rPr>
          <w:rFonts w:ascii="华文行楷" w:eastAsia="华文行楷"/>
          <w:b/>
          <w:bCs/>
          <w:sz w:val="72"/>
          <w:szCs w:val="72"/>
        </w:rPr>
      </w:pPr>
      <w:r>
        <w:rPr>
          <w:rFonts w:hint="eastAsia" w:ascii="华文行楷" w:eastAsia="华文行楷"/>
          <w:b/>
          <w:bCs/>
          <w:sz w:val="72"/>
          <w:szCs w:val="72"/>
        </w:rPr>
        <w:t>南京审计大学金审学院</w:t>
      </w:r>
    </w:p>
    <w:p>
      <w:pPr>
        <w:adjustRightInd w:val="0"/>
        <w:snapToGrid w:val="0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hint="eastAsia" w:ascii="黑体" w:eastAsia="黑体"/>
          <w:b/>
          <w:bCs/>
          <w:sz w:val="44"/>
          <w:szCs w:val="44"/>
        </w:rPr>
        <w:t>《材料与施工工艺调研》教学大纲</w:t>
      </w:r>
    </w:p>
    <w:p>
      <w:pPr>
        <w:adjustRightInd w:val="0"/>
        <w:snapToGrid w:val="0"/>
        <w:spacing w:line="360" w:lineRule="auto"/>
        <w:rPr>
          <w:rFonts w:ascii="黑体" w:eastAsia="黑体"/>
          <w:b/>
          <w:bCs/>
          <w:sz w:val="44"/>
          <w:szCs w:val="44"/>
        </w:rPr>
      </w:pPr>
    </w:p>
    <w:p>
      <w:pPr>
        <w:tabs>
          <w:tab w:val="center" w:pos="4153"/>
          <w:tab w:val="left" w:pos="6999"/>
        </w:tabs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  <w:r>
        <w:rPr>
          <w:rFonts w:hint="eastAsia" w:ascii="黑体" w:eastAsia="黑体"/>
          <w:b/>
          <w:bCs/>
          <w:sz w:val="44"/>
          <w:szCs w:val="44"/>
        </w:rPr>
        <w:t>（</w:t>
      </w:r>
      <w:r>
        <w:rPr>
          <w:rFonts w:hint="eastAsia" w:eastAsia="黑体"/>
          <w:b/>
          <w:sz w:val="36"/>
          <w:szCs w:val="36"/>
          <w:lang w:val="en-US" w:eastAsia="zh-CN"/>
        </w:rPr>
        <w:t>M</w:t>
      </w:r>
      <w:r>
        <w:rPr>
          <w:b/>
          <w:sz w:val="36"/>
          <w:szCs w:val="36"/>
        </w:rPr>
        <w:t>aterial and</w:t>
      </w:r>
      <w:r>
        <w:rPr>
          <w:rFonts w:hint="eastAsia"/>
          <w:b/>
          <w:sz w:val="36"/>
          <w:szCs w:val="36"/>
          <w:lang w:val="en-US" w:eastAsia="zh-CN"/>
        </w:rPr>
        <w:t xml:space="preserve"> </w:t>
      </w:r>
      <w:r>
        <w:rPr>
          <w:b/>
          <w:sz w:val="36"/>
          <w:szCs w:val="36"/>
        </w:rPr>
        <w:fldChar w:fldCharType="begin"/>
      </w:r>
      <w:r>
        <w:rPr>
          <w:b/>
          <w:sz w:val="36"/>
          <w:szCs w:val="36"/>
        </w:rPr>
        <w:instrText xml:space="preserve"> HYPERLINK "http://www.baidu.com/link?url=4cNbt0edZbtj8i4T_uVDMtqqlrb7UqBvZOGz9TI0EHnBBGIO2le17H7ky08mHwpWJBa_KMOMw072uewm6wizJdIMxe_50BWjY1Nr6RaaCu0CFCPCClpWwJMMU5WFAtFv" \t "https://www.baidu.com/_blank" </w:instrText>
      </w:r>
      <w:r>
        <w:rPr>
          <w:b/>
          <w:sz w:val="36"/>
          <w:szCs w:val="36"/>
        </w:rPr>
        <w:fldChar w:fldCharType="separate"/>
      </w:r>
      <w:r>
        <w:rPr>
          <w:rFonts w:hint="eastAsia"/>
          <w:b/>
          <w:sz w:val="36"/>
          <w:szCs w:val="36"/>
          <w:lang w:val="en-US" w:eastAsia="zh-CN"/>
        </w:rPr>
        <w:t>C</w:t>
      </w:r>
      <w:r>
        <w:rPr>
          <w:rFonts w:hint="default"/>
          <w:b/>
          <w:sz w:val="36"/>
          <w:szCs w:val="36"/>
        </w:rPr>
        <w:t>onstruction</w:t>
      </w:r>
      <w:r>
        <w:rPr>
          <w:rFonts w:hint="default"/>
          <w:b/>
          <w:sz w:val="36"/>
          <w:szCs w:val="36"/>
        </w:rPr>
        <w:fldChar w:fldCharType="end"/>
      </w:r>
      <w:r>
        <w:rPr>
          <w:rFonts w:hint="eastAsia"/>
          <w:b/>
          <w:sz w:val="36"/>
          <w:szCs w:val="36"/>
          <w:lang w:val="en-US" w:eastAsia="zh-CN"/>
        </w:rPr>
        <w:t xml:space="preserve"> T</w:t>
      </w:r>
      <w:r>
        <w:rPr>
          <w:b/>
          <w:sz w:val="36"/>
          <w:szCs w:val="36"/>
        </w:rPr>
        <w:t>echnology</w:t>
      </w:r>
      <w:r>
        <w:rPr>
          <w:rFonts w:hint="default"/>
          <w:b/>
          <w:sz w:val="36"/>
          <w:szCs w:val="36"/>
        </w:rPr>
        <w:t> </w:t>
      </w:r>
      <w:r>
        <w:rPr>
          <w:rFonts w:hint="eastAsia"/>
          <w:b/>
          <w:sz w:val="36"/>
          <w:szCs w:val="36"/>
          <w:lang w:val="en-US" w:eastAsia="zh-CN"/>
        </w:rPr>
        <w:t>Research</w:t>
      </w:r>
      <w:r>
        <w:rPr>
          <w:rFonts w:hint="eastAsia" w:ascii="黑体" w:eastAsia="黑体"/>
          <w:b/>
          <w:bCs/>
          <w:sz w:val="44"/>
          <w:szCs w:val="44"/>
        </w:rPr>
        <w:t>）</w:t>
      </w:r>
    </w:p>
    <w:p>
      <w:pPr>
        <w:adjustRightInd w:val="0"/>
        <w:snapToGrid w:val="0"/>
        <w:spacing w:line="360" w:lineRule="auto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ind w:firstLine="2700" w:firstLineChars="900"/>
        <w:rPr>
          <w:rFonts w:eastAsia="黑体"/>
          <w:sz w:val="30"/>
        </w:rPr>
      </w:pPr>
      <w:r>
        <w:rPr>
          <w:rFonts w:hint="eastAsia" w:eastAsia="黑体"/>
          <w:sz w:val="30"/>
        </w:rPr>
        <w:t>制定单位：</w:t>
      </w:r>
      <w:r>
        <w:rPr>
          <w:rFonts w:hint="eastAsia" w:ascii="宋体" w:hAnsi="宋体"/>
          <w:sz w:val="30"/>
        </w:rPr>
        <w:t>艺术设计学院</w:t>
      </w:r>
    </w:p>
    <w:p>
      <w:pPr>
        <w:adjustRightInd w:val="0"/>
        <w:snapToGrid w:val="0"/>
        <w:spacing w:line="360" w:lineRule="auto"/>
        <w:ind w:firstLine="2700" w:firstLineChars="900"/>
        <w:rPr>
          <w:rFonts w:hint="eastAsia" w:eastAsia="黑体"/>
          <w:color w:val="000000"/>
          <w:sz w:val="30"/>
          <w:lang w:val="en-US" w:eastAsia="zh-CN"/>
        </w:rPr>
      </w:pPr>
      <w:r>
        <w:rPr>
          <w:rFonts w:hint="eastAsia" w:eastAsia="黑体"/>
          <w:color w:val="000000"/>
          <w:sz w:val="30"/>
        </w:rPr>
        <w:t>制 定 人：</w:t>
      </w:r>
      <w:r>
        <w:rPr>
          <w:rFonts w:hint="eastAsia" w:eastAsia="黑体"/>
          <w:color w:val="000000"/>
          <w:sz w:val="30"/>
          <w:lang w:eastAsia="zh-CN"/>
        </w:rPr>
        <w:t>徐晨艳</w:t>
      </w:r>
    </w:p>
    <w:p>
      <w:pPr>
        <w:adjustRightInd w:val="0"/>
        <w:snapToGrid w:val="0"/>
        <w:spacing w:line="360" w:lineRule="auto"/>
        <w:ind w:firstLine="2700" w:firstLineChars="900"/>
        <w:rPr>
          <w:rFonts w:eastAsia="黑体"/>
          <w:color w:val="000000"/>
          <w:sz w:val="30"/>
        </w:rPr>
      </w:pPr>
      <w:r>
        <w:rPr>
          <w:rFonts w:hint="eastAsia" w:eastAsia="黑体"/>
          <w:color w:val="000000"/>
          <w:sz w:val="30"/>
        </w:rPr>
        <w:t>审 核 人：</w:t>
      </w:r>
      <w:r>
        <w:rPr>
          <w:rFonts w:hint="eastAsia" w:ascii="宋体" w:hAnsi="宋体" w:eastAsia="黑体"/>
          <w:color w:val="000000"/>
          <w:sz w:val="30"/>
        </w:rPr>
        <w:t>吕游</w:t>
      </w:r>
    </w:p>
    <w:p>
      <w:pPr>
        <w:adjustRightInd w:val="0"/>
        <w:snapToGrid w:val="0"/>
        <w:spacing w:line="360" w:lineRule="auto"/>
        <w:ind w:firstLine="2700" w:firstLineChars="900"/>
        <w:rPr>
          <w:rFonts w:ascii="黑体" w:eastAsia="黑体"/>
          <w:b/>
          <w:bCs/>
          <w:szCs w:val="21"/>
        </w:rPr>
      </w:pPr>
      <w:r>
        <w:rPr>
          <w:rFonts w:hint="eastAsia" w:eastAsia="黑体"/>
          <w:sz w:val="30"/>
        </w:rPr>
        <w:t>编写时间：</w:t>
      </w:r>
      <w:r>
        <w:rPr>
          <w:rFonts w:hint="eastAsia" w:ascii="宋体" w:hAnsi="宋体" w:eastAsia="黑体"/>
          <w:sz w:val="30"/>
        </w:rPr>
        <w:t>20</w:t>
      </w:r>
      <w:r>
        <w:rPr>
          <w:rFonts w:ascii="宋体" w:hAnsi="宋体" w:eastAsia="黑体"/>
          <w:sz w:val="30"/>
        </w:rPr>
        <w:t>20</w:t>
      </w:r>
      <w:r>
        <w:rPr>
          <w:rFonts w:hint="eastAsia" w:ascii="宋体" w:hAnsi="宋体"/>
          <w:sz w:val="30"/>
        </w:rPr>
        <w:t>年</w:t>
      </w:r>
      <w:r>
        <w:rPr>
          <w:rFonts w:hint="eastAsia" w:ascii="宋体" w:hAnsi="宋体"/>
          <w:sz w:val="30"/>
          <w:lang w:val="en-US" w:eastAsia="zh-CN"/>
        </w:rPr>
        <w:t>5</w:t>
      </w:r>
      <w:r>
        <w:rPr>
          <w:rFonts w:hint="eastAsia" w:ascii="宋体" w:hAnsi="宋体"/>
          <w:sz w:val="30"/>
        </w:rPr>
        <w:t>月</w:t>
      </w:r>
      <w:r>
        <w:rPr>
          <w:rFonts w:hint="eastAsia" w:ascii="宋体" w:hAnsi="宋体"/>
          <w:sz w:val="30"/>
          <w:lang w:val="en-US" w:eastAsia="zh-CN"/>
        </w:rPr>
        <w:t>8</w:t>
      </w:r>
      <w:r>
        <w:rPr>
          <w:rFonts w:hint="eastAsia" w:ascii="宋体" w:hAnsi="宋体"/>
          <w:sz w:val="30"/>
        </w:rPr>
        <w:t>日</w:t>
      </w:r>
    </w:p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宋体" w:eastAsia="黑体"/>
          <w:b/>
          <w:sz w:val="32"/>
        </w:rPr>
      </w:pPr>
      <w:r>
        <w:rPr>
          <w:rFonts w:hint="eastAsia" w:ascii="黑体" w:hAnsi="宋体" w:eastAsia="黑体"/>
          <w:b/>
          <w:sz w:val="32"/>
        </w:rPr>
        <w:t>课程说明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黑体" w:hAnsi="宋体" w:eastAsia="黑体"/>
          <w:b/>
          <w:sz w:val="28"/>
        </w:rPr>
      </w:pPr>
      <w:r>
        <w:rPr>
          <w:rFonts w:hint="eastAsia" w:ascii="黑体" w:hAnsi="宋体" w:eastAsia="黑体"/>
          <w:b/>
          <w:sz w:val="28"/>
        </w:rPr>
        <w:t>一、课程概述：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textAlignment w:val="auto"/>
        <w:rPr>
          <w:rFonts w:ascii="宋体" w:hAnsi="宋体" w:eastAsia="黑体"/>
          <w:bCs/>
          <w:sz w:val="24"/>
        </w:rPr>
      </w:pPr>
      <w:r>
        <w:rPr>
          <w:rFonts w:hint="eastAsia" w:ascii="黑体" w:hAnsi="宋体" w:eastAsia="黑体"/>
          <w:bCs/>
          <w:sz w:val="24"/>
        </w:rPr>
        <w:t>（一）</w:t>
      </w:r>
      <w:r>
        <w:rPr>
          <w:rFonts w:hint="eastAsia" w:eastAsia="黑体"/>
          <w:bCs/>
          <w:sz w:val="24"/>
        </w:rPr>
        <w:t>课</w:t>
      </w:r>
      <w:r>
        <w:rPr>
          <w:rFonts w:hint="eastAsia" w:ascii="宋体" w:hAnsi="宋体" w:eastAsia="黑体"/>
          <w:bCs/>
          <w:sz w:val="24"/>
        </w:rPr>
        <w:t>程属性及课程介绍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uto"/>
        <w:ind w:left="0" w:right="0" w:firstLine="420" w:firstLineChars="200"/>
        <w:rPr>
          <w:rFonts w:ascii="宋体" w:hAnsi="宋体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本门课程是室内设计专业重要的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实践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课程之一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，是《室内设计设计施工图与材料工艺》课程配套的调研实训环节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。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调研实训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内容综合了室内主要装饰材料的性能、特点、规格，以及材料在施工工艺中的综合运用、装饰项目工程及细部工艺等。通过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实训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，使学生能够了解室内设计项目中的专业知识和规范，能够系统地掌握室内设计施工图中的各类材料，施工工艺以及应用等相关技术信息。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0" w:line="360" w:lineRule="auto"/>
        <w:ind w:firstLine="480" w:firstLineChars="200"/>
        <w:textAlignment w:val="auto"/>
        <w:rPr>
          <w:rFonts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（二）教学目标</w:t>
      </w:r>
    </w:p>
    <w:p>
      <w:pPr>
        <w:spacing w:line="360" w:lineRule="exact"/>
        <w:rPr>
          <w:rFonts w:ascii="宋体" w:hAnsi="宋体"/>
          <w:b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-SA"/>
        </w:rPr>
        <w:t xml:space="preserve">    通过调研学习，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树立清晰的材料概念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，了解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室内主要装饰材料的性能、特点、规格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系统地掌握室内设计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项目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中的各类材料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，能综合运用材料；掌握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构造做法的规律，了解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设计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背后的加工过程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理解构造做法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0" w:line="360" w:lineRule="auto"/>
        <w:ind w:firstLine="480" w:firstLineChars="200"/>
        <w:textAlignment w:val="auto"/>
        <w:rPr>
          <w:rFonts w:hint="eastAsia"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（三）适用对象</w:t>
      </w:r>
    </w:p>
    <w:p>
      <w:pPr>
        <w:adjustRightInd w:val="0"/>
        <w:snapToGrid w:val="0"/>
        <w:spacing w:line="360" w:lineRule="auto"/>
        <w:ind w:firstLine="630" w:firstLineChars="300"/>
        <w:rPr>
          <w:rFonts w:ascii="宋体" w:hAnsi="宋体"/>
        </w:rPr>
      </w:pPr>
      <w:r>
        <w:rPr>
          <w:rFonts w:hint="eastAsia" w:ascii="宋体" w:hAnsi="宋体"/>
          <w:lang w:val="zh-CN"/>
        </w:rPr>
        <w:t>艺术设计类本科专业（环境设计专业室内及相关方向）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0" w:line="360" w:lineRule="auto"/>
        <w:ind w:firstLine="480" w:firstLineChars="200"/>
        <w:textAlignment w:val="auto"/>
        <w:rPr>
          <w:rFonts w:hint="eastAsia"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（四）先修课程与后续课程</w:t>
      </w:r>
    </w:p>
    <w:p>
      <w:pPr>
        <w:spacing w:line="460" w:lineRule="exact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在环境艺术设计专业当中，本课程为我校环艺专业的学科主干课：前序课程有《构成基础》、《计算机辅助设计基础》、</w:t>
      </w:r>
      <w:r>
        <w:rPr>
          <w:rFonts w:hint="eastAsia" w:ascii="宋体" w:hAnsi="宋体"/>
          <w:lang w:eastAsia="zh-CN"/>
        </w:rPr>
        <w:t>《室内类型设计》</w:t>
      </w:r>
      <w:r>
        <w:rPr>
          <w:rFonts w:hint="eastAsia" w:ascii="宋体" w:hAnsi="宋体"/>
        </w:rPr>
        <w:t xml:space="preserve">；后续课程有《毕业设计》、《毕业实习》等。 </w:t>
      </w:r>
      <w:bookmarkStart w:id="0" w:name="_GoBack"/>
      <w:bookmarkEnd w:id="0"/>
    </w:p>
    <w:p>
      <w:pPr>
        <w:adjustRightInd w:val="0"/>
        <w:snapToGrid w:val="0"/>
        <w:spacing w:line="360" w:lineRule="auto"/>
        <w:ind w:firstLine="562" w:firstLineChars="200"/>
        <w:rPr>
          <w:rFonts w:hint="eastAsia" w:ascii="黑体" w:hAnsi="宋体" w:eastAsia="黑体"/>
          <w:b/>
          <w:sz w:val="28"/>
        </w:rPr>
      </w:pPr>
      <w:r>
        <w:rPr>
          <w:rFonts w:hint="eastAsia" w:ascii="黑体" w:hAnsi="宋体" w:eastAsia="黑体"/>
          <w:b/>
          <w:sz w:val="28"/>
        </w:rPr>
        <w:t>二、任课教师教学过程中应注意的事项</w:t>
      </w:r>
    </w:p>
    <w:p>
      <w:pPr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1、强调对学生认知能力及设计思维的培养</w:t>
      </w:r>
    </w:p>
    <w:p>
      <w:pPr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2、注重项目调研与理论解剖的结合</w:t>
      </w:r>
    </w:p>
    <w:p>
      <w:pPr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3、通过实地调研中的每个细节去引导学生，关注设计方法与过程研究</w:t>
      </w:r>
    </w:p>
    <w:p>
      <w:pPr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4、强调学生的综合表达能力与案例解读能力</w:t>
      </w:r>
    </w:p>
    <w:p>
      <w:pPr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5、以丰富的教学形式促进学生自主学习能力的提升</w:t>
      </w:r>
    </w:p>
    <w:p>
      <w:pPr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6、充分利用多媒体技术及网络教学资源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黑体" w:hAnsi="宋体" w:eastAsia="黑体"/>
          <w:b/>
          <w:bCs/>
          <w:sz w:val="28"/>
        </w:rPr>
      </w:pPr>
      <w:r>
        <w:rPr>
          <w:rFonts w:hint="eastAsia" w:ascii="宋体" w:hAnsi="宋体" w:eastAsia="黑体"/>
          <w:b/>
          <w:bCs/>
          <w:sz w:val="28"/>
        </w:rPr>
        <w:t>三、学时要求与分配</w:t>
      </w:r>
      <w:r>
        <w:rPr>
          <w:rFonts w:hint="eastAsia" w:ascii="黑体" w:hAnsi="宋体" w:eastAsia="黑体"/>
          <w:b/>
          <w:bCs/>
          <w:sz w:val="28"/>
        </w:rPr>
        <w:t>：</w:t>
      </w:r>
    </w:p>
    <w:p>
      <w:pPr>
        <w:adjustRightInd w:val="0"/>
        <w:snapToGrid w:val="0"/>
        <w:spacing w:line="360" w:lineRule="auto"/>
        <w:ind w:left="483" w:leftChars="230"/>
        <w:rPr>
          <w:rFonts w:ascii="宋体" w:hAnsi="宋体" w:eastAsia="黑体"/>
          <w:sz w:val="24"/>
        </w:rPr>
      </w:pPr>
      <w:r>
        <w:rPr>
          <w:rFonts w:hint="eastAsia" w:ascii="黑体" w:hAnsi="宋体" w:eastAsia="黑体"/>
          <w:bCs/>
          <w:sz w:val="24"/>
        </w:rPr>
        <w:t>（一）</w:t>
      </w:r>
      <w:r>
        <w:rPr>
          <w:rFonts w:hint="eastAsia" w:ascii="宋体" w:hAnsi="宋体" w:eastAsia="黑体"/>
          <w:sz w:val="24"/>
        </w:rPr>
        <w:t>总学时要求</w:t>
      </w:r>
    </w:p>
    <w:p>
      <w:pPr>
        <w:spacing w:line="460" w:lineRule="exact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课时：30（理论：0学时 实践：30学时）</w:t>
      </w:r>
    </w:p>
    <w:p>
      <w:pPr>
        <w:adjustRightInd w:val="0"/>
        <w:snapToGrid w:val="0"/>
        <w:spacing w:line="360" w:lineRule="auto"/>
        <w:ind w:left="482"/>
        <w:rPr>
          <w:rFonts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（二）学时分配</w:t>
      </w:r>
    </w:p>
    <w:tbl>
      <w:tblPr>
        <w:tblStyle w:val="9"/>
        <w:tblW w:w="85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900"/>
        <w:gridCol w:w="4234"/>
        <w:gridCol w:w="761"/>
        <w:gridCol w:w="17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周别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次数</w:t>
            </w:r>
          </w:p>
        </w:tc>
        <w:tc>
          <w:tcPr>
            <w:tcW w:w="4234" w:type="dxa"/>
            <w:vAlign w:val="center"/>
          </w:tcPr>
          <w:p>
            <w:pPr>
              <w:ind w:firstLine="548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授课章节与内容摘要</w:t>
            </w: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时数</w:t>
            </w:r>
          </w:p>
        </w:tc>
        <w:tc>
          <w:tcPr>
            <w:tcW w:w="1797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</w:t>
            </w:r>
          </w:p>
        </w:tc>
        <w:tc>
          <w:tcPr>
            <w:tcW w:w="4234" w:type="dxa"/>
            <w:vAlign w:val="top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装饰材料调研</w:t>
            </w:r>
          </w:p>
          <w:p>
            <w:pPr>
              <w:numPr>
                <w:ilvl w:val="0"/>
                <w:numId w:val="2"/>
              </w:num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针对装饰材料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种类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，市场及利用范围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进行分类、归纳</w:t>
            </w:r>
          </w:p>
          <w:p>
            <w:pPr>
              <w:numPr>
                <w:ilvl w:val="0"/>
                <w:numId w:val="2"/>
              </w:num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项目调研，针对材料选用及表达进行分析</w:t>
            </w:r>
          </w:p>
          <w:p>
            <w:pPr>
              <w:numPr>
                <w:ilvl w:val="0"/>
                <w:numId w:val="2"/>
              </w:num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材料选用设计原则分析与总结</w:t>
            </w:r>
          </w:p>
        </w:tc>
        <w:tc>
          <w:tcPr>
            <w:tcW w:w="76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797" w:type="dxa"/>
            <w:vAlign w:val="top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4234" w:type="dxa"/>
            <w:vAlign w:val="top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  <w:t>集成化材料与隐蔽工程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集成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、装配化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材料；</w:t>
            </w:r>
          </w:p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隐蔽工程及基层工艺</w:t>
            </w:r>
          </w:p>
        </w:tc>
        <w:tc>
          <w:tcPr>
            <w:tcW w:w="76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797" w:type="dxa"/>
            <w:vAlign w:val="top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阶段性调研报告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4234" w:type="dxa"/>
            <w:vAlign w:val="top"/>
          </w:tcPr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  <w:t>工程项目调研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设计工程，分析主要装饰材料运用及设计表达；</w:t>
            </w:r>
          </w:p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施工工艺与材料选用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分析</w:t>
            </w:r>
          </w:p>
        </w:tc>
        <w:tc>
          <w:tcPr>
            <w:tcW w:w="76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797" w:type="dxa"/>
            <w:vAlign w:val="top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4234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  <w:t>装饰材料与施工工艺项目解读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  <w:lang w:eastAsia="zh-CN"/>
              </w:rPr>
              <w:t>与汇报</w:t>
            </w:r>
          </w:p>
        </w:tc>
        <w:tc>
          <w:tcPr>
            <w:tcW w:w="761" w:type="dxa"/>
            <w:vAlign w:val="top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797" w:type="dxa"/>
            <w:vAlign w:val="top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总结性调研报告</w:t>
            </w:r>
          </w:p>
        </w:tc>
      </w:tr>
    </w:tbl>
    <w:p>
      <w:pPr>
        <w:adjustRightInd w:val="0"/>
        <w:snapToGrid w:val="0"/>
        <w:spacing w:line="360" w:lineRule="auto"/>
        <w:ind w:firstLine="560"/>
        <w:rPr>
          <w:rFonts w:eastAsia="黑体"/>
          <w:b/>
          <w:bCs/>
          <w:sz w:val="28"/>
        </w:rPr>
      </w:pPr>
      <w:r>
        <w:rPr>
          <w:rFonts w:hint="eastAsia" w:ascii="宋体" w:hAnsi="宋体" w:eastAsia="黑体"/>
          <w:b/>
          <w:bCs/>
          <w:sz w:val="28"/>
        </w:rPr>
        <w:t>四、</w:t>
      </w:r>
      <w:r>
        <w:rPr>
          <w:rFonts w:hint="eastAsia" w:eastAsia="黑体"/>
          <w:b/>
          <w:bCs/>
          <w:sz w:val="28"/>
        </w:rPr>
        <w:t>实践教学内容与要求</w:t>
      </w:r>
    </w:p>
    <w:p>
      <w:pPr>
        <w:ind w:firstLine="420" w:firstLineChars="200"/>
        <w:jc w:val="left"/>
      </w:pPr>
      <w:r>
        <w:rPr>
          <w:rFonts w:hint="eastAsia"/>
        </w:rPr>
        <w:t>本课程在教学中采用了案例式、</w:t>
      </w:r>
      <w:r>
        <w:rPr>
          <w:rFonts w:hint="eastAsia"/>
          <w:lang w:eastAsia="zh-CN"/>
        </w:rPr>
        <w:t>项目</w:t>
      </w:r>
      <w:r>
        <w:rPr>
          <w:rFonts w:hint="eastAsia"/>
        </w:rPr>
        <w:t>式等方法引导学生主动进入设计状态，激励学生不断要求进步，并且让学生组成设计团队进行练习，使资源优化整合并增强学生的团队合作意识。</w:t>
      </w:r>
    </w:p>
    <w:p>
      <w:pPr>
        <w:pStyle w:val="19"/>
        <w:numPr>
          <w:ilvl w:val="0"/>
          <w:numId w:val="3"/>
        </w:numPr>
        <w:ind w:firstLineChars="0"/>
        <w:jc w:val="left"/>
      </w:pPr>
      <w:r>
        <w:rPr>
          <w:rFonts w:hint="eastAsia"/>
        </w:rPr>
        <w:t>前往南京本地各大</w:t>
      </w:r>
      <w:r>
        <w:rPr>
          <w:rFonts w:hint="eastAsia"/>
          <w:lang w:eastAsia="zh-CN"/>
        </w:rPr>
        <w:t>装饰城</w:t>
      </w:r>
      <w:r>
        <w:rPr>
          <w:rFonts w:hint="eastAsia"/>
        </w:rPr>
        <w:t>进行实地调研，帮助学生了解市场应用。</w:t>
      </w:r>
    </w:p>
    <w:p>
      <w:pPr>
        <w:pStyle w:val="19"/>
        <w:numPr>
          <w:ilvl w:val="0"/>
          <w:numId w:val="3"/>
        </w:numPr>
        <w:ind w:firstLineChars="0"/>
        <w:jc w:val="left"/>
      </w:pPr>
      <w:r>
        <w:rPr>
          <w:rFonts w:hint="eastAsia"/>
        </w:rPr>
        <w:t>借助校企合作</w:t>
      </w:r>
      <w:r>
        <w:rPr>
          <w:rFonts w:hint="eastAsia"/>
          <w:lang w:eastAsia="zh-CN"/>
        </w:rPr>
        <w:t>实训</w:t>
      </w:r>
      <w:r>
        <w:rPr>
          <w:rFonts w:hint="eastAsia"/>
        </w:rPr>
        <w:t>平台，帮助学生了解</w:t>
      </w:r>
      <w:r>
        <w:rPr>
          <w:rFonts w:hint="eastAsia"/>
          <w:lang w:eastAsia="zh-CN"/>
        </w:rPr>
        <w:t>工程项目实例</w:t>
      </w:r>
      <w:r>
        <w:rPr>
          <w:rFonts w:hint="eastAsia"/>
        </w:rPr>
        <w:t>；</w:t>
      </w:r>
    </w:p>
    <w:p>
      <w:pPr>
        <w:ind w:firstLine="420" w:firstLineChars="200"/>
        <w:jc w:val="left"/>
      </w:pPr>
      <w:r>
        <w:rPr>
          <w:rFonts w:hint="eastAsia"/>
        </w:rPr>
        <w:t>2、进一步加强学生对资料、案例收集整理并分析中外优秀设计案例，丰富学生的专业信息；</w:t>
      </w:r>
    </w:p>
    <w:p>
      <w:pPr>
        <w:ind w:firstLine="420" w:firstLineChars="200"/>
        <w:jc w:val="left"/>
      </w:pPr>
      <w:r>
        <w:rPr>
          <w:rFonts w:hint="eastAsia"/>
        </w:rPr>
        <w:t>3、利用</w:t>
      </w:r>
      <w:r>
        <w:rPr>
          <w:rFonts w:hint="eastAsia"/>
          <w:lang w:eastAsia="zh-CN"/>
        </w:rPr>
        <w:t>网络</w:t>
      </w:r>
      <w:r>
        <w:rPr>
          <w:rFonts w:hint="eastAsia"/>
          <w:lang w:val="en-US" w:eastAsia="zh-CN"/>
        </w:rPr>
        <w:t>MOOC</w:t>
      </w:r>
      <w:r>
        <w:rPr>
          <w:rFonts w:hint="eastAsia"/>
        </w:rPr>
        <w:t>教学云平台，丰富教学手段，培养学生的自主学习能力。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宋体" w:hAnsi="宋体" w:eastAsia="黑体"/>
          <w:b/>
          <w:bCs/>
          <w:sz w:val="28"/>
        </w:rPr>
      </w:pPr>
      <w:r>
        <w:rPr>
          <w:rFonts w:hint="eastAsia" w:ascii="宋体" w:hAnsi="宋体" w:eastAsia="黑体"/>
          <w:b/>
          <w:bCs/>
          <w:sz w:val="28"/>
        </w:rPr>
        <w:t>五、教学</w:t>
      </w:r>
      <w:r>
        <w:rPr>
          <w:rFonts w:ascii="宋体" w:hAnsi="宋体" w:eastAsia="黑体"/>
          <w:b/>
          <w:bCs/>
          <w:sz w:val="28"/>
        </w:rPr>
        <w:t>参考</w:t>
      </w:r>
      <w:r>
        <w:rPr>
          <w:rFonts w:hint="eastAsia" w:ascii="宋体" w:hAnsi="宋体" w:eastAsia="黑体"/>
          <w:b/>
          <w:bCs/>
          <w:sz w:val="28"/>
        </w:rPr>
        <w:t>资料</w:t>
      </w:r>
    </w:p>
    <w:p>
      <w:pPr>
        <w:ind w:firstLine="422" w:firstLineChars="200"/>
        <w:rPr>
          <w:rStyle w:val="20"/>
          <w:b/>
          <w:szCs w:val="21"/>
        </w:rPr>
      </w:pPr>
      <w:r>
        <w:rPr>
          <w:rStyle w:val="20"/>
          <w:b/>
          <w:szCs w:val="21"/>
        </w:rPr>
        <w:t>1</w:t>
      </w:r>
      <w:r>
        <w:rPr>
          <w:rStyle w:val="20"/>
          <w:rFonts w:hint="eastAsia"/>
          <w:b/>
          <w:szCs w:val="21"/>
        </w:rPr>
        <w:t>、</w:t>
      </w:r>
      <w:r>
        <w:rPr>
          <w:rStyle w:val="20"/>
          <w:b/>
          <w:szCs w:val="21"/>
        </w:rPr>
        <w:t>参考教材</w:t>
      </w:r>
    </w:p>
    <w:p>
      <w:pPr>
        <w:ind w:firstLine="420" w:firstLineChars="200"/>
        <w:jc w:val="left"/>
        <w:rPr>
          <w:rFonts w:hint="eastAsia"/>
        </w:rPr>
      </w:pPr>
      <w:r>
        <w:rPr>
          <w:rFonts w:hint="eastAsia"/>
        </w:rPr>
        <w:t>[1] 《室内施工工艺与管理》 平国安  编著  高等教育出版社出版</w:t>
      </w:r>
    </w:p>
    <w:p>
      <w:pPr>
        <w:ind w:firstLine="420" w:firstLineChars="200"/>
        <w:jc w:val="left"/>
        <w:rPr>
          <w:rFonts w:hint="default"/>
        </w:rPr>
      </w:pPr>
      <w:r>
        <w:rPr>
          <w:rFonts w:hint="eastAsia"/>
        </w:rPr>
        <w:t>[2] 张绮曼、郑曙旸主编，《室内设计资料集》，北京：中国建筑工业出版社，1991</w:t>
      </w:r>
    </w:p>
    <w:p>
      <w:pPr>
        <w:ind w:firstLine="420" w:firstLineChars="200"/>
        <w:jc w:val="left"/>
        <w:rPr>
          <w:rFonts w:hint="default"/>
        </w:rPr>
      </w:pPr>
      <w:r>
        <w:rPr>
          <w:rFonts w:hint="eastAsia"/>
        </w:rPr>
        <w:t>[3] 张绮曼、潘吾华主编，《室内设计资料集2》，北京：中国建筑工业出版社，1999</w:t>
      </w:r>
    </w:p>
    <w:p>
      <w:pPr>
        <w:ind w:firstLine="420" w:firstLineChars="200"/>
        <w:jc w:val="left"/>
        <w:rPr>
          <w:rFonts w:hint="default"/>
        </w:rPr>
      </w:pPr>
      <w:r>
        <w:rPr>
          <w:rFonts w:hint="eastAsia"/>
        </w:rPr>
        <w:t>[4] 薛健主编，《室内外设计资料集》，北京：中国建工出版社，2002</w:t>
      </w:r>
    </w:p>
    <w:p>
      <w:pPr>
        <w:ind w:firstLine="420" w:firstLineChars="200"/>
        <w:jc w:val="left"/>
        <w:rPr>
          <w:rFonts w:hint="default"/>
        </w:rPr>
      </w:pPr>
      <w:r>
        <w:rPr>
          <w:rFonts w:hint="eastAsia"/>
        </w:rPr>
        <w:t>[5] 钟训正 编著《国外建筑装修构造图集》,东南大学出版社出版</w:t>
      </w:r>
    </w:p>
    <w:p>
      <w:pPr>
        <w:ind w:firstLine="420" w:firstLineChars="200"/>
        <w:jc w:val="left"/>
        <w:rPr>
          <w:rFonts w:hint="default"/>
        </w:rPr>
      </w:pPr>
      <w:r>
        <w:rPr>
          <w:rFonts w:hint="eastAsia"/>
        </w:rPr>
        <w:t>推荐网站：</w:t>
      </w:r>
    </w:p>
    <w:p>
      <w:pPr>
        <w:ind w:firstLine="420" w:firstLineChars="200"/>
        <w:jc w:val="left"/>
        <w:rPr>
          <w:rFonts w:hint="default"/>
        </w:rPr>
      </w:pPr>
      <w:r>
        <w:rPr>
          <w:rFonts w:hint="eastAsia"/>
        </w:rPr>
        <w:t>[1] </w:t>
      </w:r>
      <w:r>
        <w:rPr>
          <w:rFonts w:hint="default"/>
        </w:rPr>
        <w:fldChar w:fldCharType="begin"/>
      </w:r>
      <w:r>
        <w:rPr>
          <w:rFonts w:hint="default"/>
        </w:rPr>
        <w:instrText xml:space="preserve"> HYPERLINK "http://www.zhulong.com/" </w:instrText>
      </w:r>
      <w:r>
        <w:rPr>
          <w:rFonts w:hint="default"/>
        </w:rPr>
        <w:fldChar w:fldCharType="separate"/>
      </w:r>
      <w:r>
        <w:rPr>
          <w:rFonts w:hint="eastAsia"/>
        </w:rPr>
        <w:t>http://www.zhulong.com/</w:t>
      </w:r>
      <w:r>
        <w:rPr>
          <w:rFonts w:hint="default"/>
        </w:rPr>
        <w:fldChar w:fldCharType="end"/>
      </w:r>
      <w:r>
        <w:rPr>
          <w:rFonts w:hint="eastAsia"/>
        </w:rPr>
        <w:t>  筑龙网</w:t>
      </w:r>
    </w:p>
    <w:p>
      <w:pPr>
        <w:ind w:firstLine="420" w:firstLineChars="200"/>
        <w:jc w:val="left"/>
        <w:rPr>
          <w:rFonts w:hint="default"/>
        </w:rPr>
      </w:pPr>
      <w:r>
        <w:rPr>
          <w:rFonts w:hint="eastAsia"/>
        </w:rPr>
        <w:t>[2]《BBC室内设计规则Design.Rules》影像资料</w:t>
      </w:r>
    </w:p>
    <w:p>
      <w:pPr>
        <w:ind w:firstLine="420" w:firstLineChars="200"/>
        <w:jc w:val="left"/>
        <w:rPr>
          <w:rFonts w:hint="default"/>
        </w:rPr>
      </w:pPr>
      <w:r>
        <w:rPr>
          <w:rFonts w:hint="eastAsia"/>
        </w:rPr>
        <w:t>[3] </w:t>
      </w:r>
      <w:r>
        <w:rPr>
          <w:rFonts w:hint="default"/>
        </w:rPr>
        <w:fldChar w:fldCharType="begin"/>
      </w:r>
      <w:r>
        <w:rPr>
          <w:rFonts w:hint="default"/>
        </w:rPr>
        <w:instrText xml:space="preserve"> HYPERLINK "http://www.zhulong.com/" </w:instrText>
      </w:r>
      <w:r>
        <w:rPr>
          <w:rFonts w:hint="default"/>
        </w:rPr>
        <w:fldChar w:fldCharType="separate"/>
      </w:r>
      <w:r>
        <w:rPr>
          <w:rFonts w:hint="eastAsia"/>
        </w:rPr>
        <w:t>http://www.clsj.com/</w:t>
      </w:r>
      <w:r>
        <w:rPr>
          <w:rFonts w:hint="default"/>
        </w:rPr>
        <w:fldChar w:fldCharType="end"/>
      </w:r>
      <w:r>
        <w:rPr>
          <w:rFonts w:hint="eastAsia"/>
        </w:rPr>
        <w:t>  材料世界</w:t>
      </w:r>
    </w:p>
    <w:p>
      <w:pPr>
        <w:ind w:firstLine="420" w:firstLineChars="200"/>
        <w:jc w:val="left"/>
        <w:rPr>
          <w:rFonts w:hint="default"/>
        </w:rPr>
      </w:pPr>
      <w:r>
        <w:rPr>
          <w:rFonts w:hint="eastAsia"/>
        </w:rPr>
        <w:t>[4] 微信公众号 dop design</w:t>
      </w:r>
    </w:p>
    <w:p>
      <w:pPr>
        <w:ind w:firstLine="420" w:firstLineChars="200"/>
        <w:jc w:val="left"/>
        <w:rPr>
          <w:rFonts w:hint="eastAsia"/>
        </w:rPr>
      </w:pPr>
      <w:r>
        <w:rPr>
          <w:rFonts w:hint="eastAsia"/>
        </w:rPr>
        <w:t>[5] 微信公众号 材料在线</w:t>
      </w:r>
    </w:p>
    <w:p>
      <w:pPr>
        <w:adjustRightInd w:val="0"/>
        <w:snapToGrid w:val="0"/>
        <w:spacing w:line="360" w:lineRule="auto"/>
        <w:ind w:firstLine="562" w:firstLineChars="200"/>
        <w:rPr>
          <w:rFonts w:hint="eastAsia" w:ascii="宋体" w:hAnsi="宋体" w:eastAsia="黑体"/>
          <w:b/>
          <w:bCs/>
          <w:sz w:val="28"/>
        </w:rPr>
      </w:pPr>
      <w:r>
        <w:rPr>
          <w:rFonts w:hint="eastAsia" w:ascii="黑体" w:hAnsi="宋体" w:eastAsia="黑体"/>
          <w:b/>
          <w:bCs/>
          <w:sz w:val="28"/>
        </w:rPr>
        <w:t>六、</w:t>
      </w:r>
      <w:r>
        <w:rPr>
          <w:rFonts w:hint="eastAsia" w:ascii="宋体" w:hAnsi="宋体" w:eastAsia="黑体"/>
          <w:b/>
          <w:bCs/>
          <w:sz w:val="28"/>
        </w:rPr>
        <w:t>课程的考核要求</w:t>
      </w:r>
    </w:p>
    <w:p>
      <w:pPr>
        <w:ind w:firstLine="420" w:firstLineChars="200"/>
        <w:jc w:val="left"/>
        <w:rPr>
          <w:rFonts w:hint="eastAsia"/>
        </w:rPr>
      </w:pPr>
      <w:r>
        <w:rPr>
          <w:rFonts w:hint="eastAsia"/>
        </w:rPr>
        <w:t xml:space="preserve"> 根据本课程的特点，采取过程考核、阶段考核和调研报告总评考核相结合的方式考核学生能力，注重调研过程的认真、详细、丰富和平时表现，参考学生互评情况综合评定学习效果。</w:t>
      </w:r>
    </w:p>
    <w:p>
      <w:pPr>
        <w:widowControl/>
        <w:spacing w:line="480" w:lineRule="exact"/>
        <w:ind w:firstLine="420" w:firstLineChars="200"/>
        <w:jc w:val="left"/>
        <w:rPr>
          <w:rStyle w:val="20"/>
          <w:szCs w:val="21"/>
        </w:rPr>
      </w:pPr>
      <w:r>
        <w:rPr>
          <w:kern w:val="0"/>
          <w:szCs w:val="21"/>
        </w:rPr>
        <w:t>1、</w:t>
      </w:r>
      <w:r>
        <w:rPr>
          <w:rFonts w:hint="eastAsia"/>
          <w:kern w:val="0"/>
          <w:szCs w:val="21"/>
        </w:rPr>
        <w:t>平时成绩</w:t>
      </w:r>
      <w:r>
        <w:rPr>
          <w:rStyle w:val="20"/>
          <w:rFonts w:hint="eastAsia"/>
          <w:szCs w:val="21"/>
        </w:rPr>
        <w:t>：占总分4</w:t>
      </w:r>
      <w:r>
        <w:rPr>
          <w:rStyle w:val="20"/>
          <w:szCs w:val="21"/>
        </w:rPr>
        <w:t>0%</w:t>
      </w:r>
      <w:r>
        <w:rPr>
          <w:rStyle w:val="20"/>
          <w:rFonts w:hint="eastAsia"/>
          <w:szCs w:val="21"/>
        </w:rPr>
        <w:t>。（考勤30%、平时作业50%、提问沟通环节20%）</w:t>
      </w:r>
    </w:p>
    <w:p>
      <w:pPr>
        <w:widowControl/>
        <w:spacing w:line="480" w:lineRule="exact"/>
        <w:ind w:firstLine="420" w:firstLineChars="200"/>
        <w:jc w:val="left"/>
        <w:rPr>
          <w:rStyle w:val="20"/>
          <w:szCs w:val="21"/>
        </w:rPr>
      </w:pPr>
      <w:r>
        <w:rPr>
          <w:rFonts w:hint="eastAsia"/>
          <w:kern w:val="0"/>
        </w:rPr>
        <w:t>2</w:t>
      </w:r>
      <w:r>
        <w:rPr>
          <w:kern w:val="0"/>
        </w:rPr>
        <w:t>、</w:t>
      </w:r>
      <w:r>
        <w:rPr>
          <w:rFonts w:hint="eastAsia"/>
          <w:kern w:val="0"/>
        </w:rPr>
        <w:t>期末考核：</w:t>
      </w:r>
      <w:r>
        <w:rPr>
          <w:rStyle w:val="20"/>
          <w:rFonts w:hint="eastAsia"/>
          <w:szCs w:val="21"/>
        </w:rPr>
        <w:t>占总分6</w:t>
      </w:r>
      <w:r>
        <w:rPr>
          <w:rStyle w:val="20"/>
          <w:szCs w:val="21"/>
        </w:rPr>
        <w:t>0%</w:t>
      </w:r>
      <w:r>
        <w:rPr>
          <w:rStyle w:val="20"/>
          <w:rFonts w:hint="eastAsia"/>
          <w:szCs w:val="21"/>
        </w:rPr>
        <w:t>.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宋体" w:hAnsi="宋体" w:eastAsia="黑体"/>
          <w:b/>
          <w:bCs/>
          <w:sz w:val="28"/>
        </w:rPr>
      </w:pPr>
      <w:r>
        <w:rPr>
          <w:rFonts w:hint="eastAsia" w:ascii="宋体" w:hAnsi="宋体" w:eastAsia="黑体"/>
          <w:b/>
          <w:bCs/>
          <w:sz w:val="28"/>
        </w:rPr>
        <w:t>七、疫情期间部分课程内容调整补充</w:t>
      </w:r>
    </w:p>
    <w:p>
      <w:pPr>
        <w:adjustRightInd w:val="0"/>
        <w:snapToGrid w:val="0"/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</w:rPr>
        <w:t xml:space="preserve">     针对2019-2020-2学期疫情期间，该课程中涉及外出调研部分取消，改为线上“云调研”，主要分为两个环节：一是老师通过视频分享所需调研的项目，二是通过成功项目设计文本通过案例讲授法与学生进行沟通。</w:t>
      </w:r>
    </w:p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</w:p>
    <w:p>
      <w:pPr>
        <w:pStyle w:val="8"/>
        <w:spacing w:line="460" w:lineRule="exact"/>
        <w:ind w:left="862"/>
        <w:rPr>
          <w:rFonts w:ascii="黑体" w:hAnsi="宋体" w:eastAsia="黑体"/>
          <w:b/>
        </w:rPr>
      </w:pPr>
    </w:p>
    <w:p>
      <w:pPr>
        <w:outlineLvl w:val="0"/>
        <w:rPr>
          <w:rFonts w:ascii="黑体" w:hAnsi="宋体" w:eastAsia="黑体"/>
          <w:bCs/>
        </w:rPr>
      </w:pPr>
    </w:p>
    <w:sectPr>
      <w:footerReference r:id="rId3" w:type="default"/>
      <w:pgSz w:w="11906" w:h="16838"/>
      <w:pgMar w:top="1440" w:right="1797" w:bottom="1276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57033A6"/>
    <w:multiLevelType w:val="singleLevel"/>
    <w:tmpl w:val="C57033A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0734858"/>
    <w:multiLevelType w:val="multilevel"/>
    <w:tmpl w:val="40734858"/>
    <w:lvl w:ilvl="0" w:tentative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71E82D61"/>
    <w:multiLevelType w:val="multilevel"/>
    <w:tmpl w:val="71E82D61"/>
    <w:lvl w:ilvl="0" w:tentative="0">
      <w:start w:val="1"/>
      <w:numFmt w:val="chineseCountingThousand"/>
      <w:pStyle w:val="18"/>
      <w:lvlText w:val="%1、"/>
      <w:lvlJc w:val="left"/>
      <w:pPr>
        <w:tabs>
          <w:tab w:val="left" w:pos="630"/>
        </w:tabs>
        <w:ind w:left="630" w:hanging="420"/>
      </w:pPr>
      <w:rPr>
        <w:lang w:val="en-US"/>
      </w:rPr>
    </w:lvl>
    <w:lvl w:ilvl="1" w:tentative="0">
      <w:start w:val="1"/>
      <w:numFmt w:val="ideographEnclosedCircle"/>
      <w:lvlText w:val="%2、"/>
      <w:lvlJc w:val="left"/>
      <w:pPr>
        <w:tabs>
          <w:tab w:val="left" w:pos="1110"/>
        </w:tabs>
        <w:ind w:left="1110" w:hanging="48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470"/>
        </w:tabs>
        <w:ind w:left="1470" w:hanging="420"/>
      </w:pPr>
    </w:lvl>
    <w:lvl w:ilvl="3" w:tentative="0">
      <w:start w:val="1"/>
      <w:numFmt w:val="decimal"/>
      <w:lvlText w:val="%4."/>
      <w:lvlJc w:val="left"/>
      <w:pPr>
        <w:tabs>
          <w:tab w:val="left" w:pos="1890"/>
        </w:tabs>
        <w:ind w:left="189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310"/>
        </w:tabs>
        <w:ind w:left="231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730"/>
        </w:tabs>
        <w:ind w:left="2730" w:hanging="420"/>
      </w:pPr>
    </w:lvl>
    <w:lvl w:ilvl="6" w:tentative="0">
      <w:start w:val="1"/>
      <w:numFmt w:val="decimal"/>
      <w:lvlText w:val="%7."/>
      <w:lvlJc w:val="left"/>
      <w:pPr>
        <w:tabs>
          <w:tab w:val="left" w:pos="3150"/>
        </w:tabs>
        <w:ind w:left="315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570"/>
        </w:tabs>
        <w:ind w:left="357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990"/>
        </w:tabs>
        <w:ind w:left="399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DED"/>
    <w:rsid w:val="000063AA"/>
    <w:rsid w:val="00017760"/>
    <w:rsid w:val="00017F53"/>
    <w:rsid w:val="00040A81"/>
    <w:rsid w:val="0005720D"/>
    <w:rsid w:val="000805F2"/>
    <w:rsid w:val="00090472"/>
    <w:rsid w:val="000970F0"/>
    <w:rsid w:val="000C5426"/>
    <w:rsid w:val="000F38AD"/>
    <w:rsid w:val="00101D3C"/>
    <w:rsid w:val="0010267C"/>
    <w:rsid w:val="00107A3A"/>
    <w:rsid w:val="001107EE"/>
    <w:rsid w:val="0011399A"/>
    <w:rsid w:val="00114ECF"/>
    <w:rsid w:val="00121F89"/>
    <w:rsid w:val="001221C1"/>
    <w:rsid w:val="0014357D"/>
    <w:rsid w:val="001437FC"/>
    <w:rsid w:val="001575D1"/>
    <w:rsid w:val="001764AC"/>
    <w:rsid w:val="001865B8"/>
    <w:rsid w:val="001C310A"/>
    <w:rsid w:val="001E7AAF"/>
    <w:rsid w:val="00261138"/>
    <w:rsid w:val="00273ECB"/>
    <w:rsid w:val="002829FF"/>
    <w:rsid w:val="00291E14"/>
    <w:rsid w:val="002975B4"/>
    <w:rsid w:val="002A62CE"/>
    <w:rsid w:val="002A67EA"/>
    <w:rsid w:val="002A7D1F"/>
    <w:rsid w:val="002B331E"/>
    <w:rsid w:val="002F6834"/>
    <w:rsid w:val="0034551F"/>
    <w:rsid w:val="00346458"/>
    <w:rsid w:val="00352380"/>
    <w:rsid w:val="00356313"/>
    <w:rsid w:val="00377104"/>
    <w:rsid w:val="00387E56"/>
    <w:rsid w:val="003D2109"/>
    <w:rsid w:val="003E191F"/>
    <w:rsid w:val="003F2012"/>
    <w:rsid w:val="003F5AF7"/>
    <w:rsid w:val="004102D8"/>
    <w:rsid w:val="00412AE6"/>
    <w:rsid w:val="00412AF9"/>
    <w:rsid w:val="00417DCD"/>
    <w:rsid w:val="0044297F"/>
    <w:rsid w:val="004450FB"/>
    <w:rsid w:val="00451774"/>
    <w:rsid w:val="004B4B1A"/>
    <w:rsid w:val="004C5232"/>
    <w:rsid w:val="00511072"/>
    <w:rsid w:val="00513527"/>
    <w:rsid w:val="00525B02"/>
    <w:rsid w:val="005633E2"/>
    <w:rsid w:val="0059179A"/>
    <w:rsid w:val="005B714B"/>
    <w:rsid w:val="005E065F"/>
    <w:rsid w:val="00605BF0"/>
    <w:rsid w:val="00606417"/>
    <w:rsid w:val="00642381"/>
    <w:rsid w:val="00680407"/>
    <w:rsid w:val="00687D4D"/>
    <w:rsid w:val="006A7DED"/>
    <w:rsid w:val="00710EFA"/>
    <w:rsid w:val="00711F80"/>
    <w:rsid w:val="00721F15"/>
    <w:rsid w:val="00727EDC"/>
    <w:rsid w:val="007334A5"/>
    <w:rsid w:val="00752AA3"/>
    <w:rsid w:val="0077785D"/>
    <w:rsid w:val="007D068D"/>
    <w:rsid w:val="007D0DDD"/>
    <w:rsid w:val="007E1B8E"/>
    <w:rsid w:val="00811DD0"/>
    <w:rsid w:val="008326A3"/>
    <w:rsid w:val="00843EE1"/>
    <w:rsid w:val="0086070A"/>
    <w:rsid w:val="008B6DDA"/>
    <w:rsid w:val="008B7885"/>
    <w:rsid w:val="008C1A26"/>
    <w:rsid w:val="008C6C06"/>
    <w:rsid w:val="008E0F93"/>
    <w:rsid w:val="008F33C6"/>
    <w:rsid w:val="00987926"/>
    <w:rsid w:val="009A4D99"/>
    <w:rsid w:val="009D0DD6"/>
    <w:rsid w:val="00A007D0"/>
    <w:rsid w:val="00A11C2F"/>
    <w:rsid w:val="00A32AE8"/>
    <w:rsid w:val="00A33273"/>
    <w:rsid w:val="00A4316A"/>
    <w:rsid w:val="00A51A88"/>
    <w:rsid w:val="00A952BC"/>
    <w:rsid w:val="00AB7A88"/>
    <w:rsid w:val="00AC0D66"/>
    <w:rsid w:val="00AC5451"/>
    <w:rsid w:val="00AC7778"/>
    <w:rsid w:val="00B21C22"/>
    <w:rsid w:val="00B5088C"/>
    <w:rsid w:val="00B6382A"/>
    <w:rsid w:val="00B63FBB"/>
    <w:rsid w:val="00B71894"/>
    <w:rsid w:val="00B73D5C"/>
    <w:rsid w:val="00BC39B6"/>
    <w:rsid w:val="00BC3DE5"/>
    <w:rsid w:val="00BD3A23"/>
    <w:rsid w:val="00BD6E81"/>
    <w:rsid w:val="00BF3DC4"/>
    <w:rsid w:val="00C73790"/>
    <w:rsid w:val="00CA7A71"/>
    <w:rsid w:val="00CB6585"/>
    <w:rsid w:val="00CD41AF"/>
    <w:rsid w:val="00D42589"/>
    <w:rsid w:val="00D4355B"/>
    <w:rsid w:val="00D66B35"/>
    <w:rsid w:val="00D84BA4"/>
    <w:rsid w:val="00DA591A"/>
    <w:rsid w:val="00DB422B"/>
    <w:rsid w:val="00E1000D"/>
    <w:rsid w:val="00E10B35"/>
    <w:rsid w:val="00E327CB"/>
    <w:rsid w:val="00E37FFB"/>
    <w:rsid w:val="00E41CA5"/>
    <w:rsid w:val="00E47C50"/>
    <w:rsid w:val="00E550CB"/>
    <w:rsid w:val="00E551E5"/>
    <w:rsid w:val="00E67665"/>
    <w:rsid w:val="00E70086"/>
    <w:rsid w:val="00E7085C"/>
    <w:rsid w:val="00E71E46"/>
    <w:rsid w:val="00EB1027"/>
    <w:rsid w:val="00EE0F3B"/>
    <w:rsid w:val="00F12CB7"/>
    <w:rsid w:val="00F174FA"/>
    <w:rsid w:val="00F34B93"/>
    <w:rsid w:val="00F516A3"/>
    <w:rsid w:val="00FC5B8D"/>
    <w:rsid w:val="0B0B3EB8"/>
    <w:rsid w:val="1265347F"/>
    <w:rsid w:val="15931B28"/>
    <w:rsid w:val="166A5654"/>
    <w:rsid w:val="1D571676"/>
    <w:rsid w:val="1FC94D99"/>
    <w:rsid w:val="23723050"/>
    <w:rsid w:val="2B523041"/>
    <w:rsid w:val="34B06FE9"/>
    <w:rsid w:val="3A522E46"/>
    <w:rsid w:val="3BA40F15"/>
    <w:rsid w:val="3F214559"/>
    <w:rsid w:val="40B926FC"/>
    <w:rsid w:val="422E17B6"/>
    <w:rsid w:val="4D1C5AFF"/>
    <w:rsid w:val="4D646AF3"/>
    <w:rsid w:val="4EB40B8C"/>
    <w:rsid w:val="50642D26"/>
    <w:rsid w:val="52E6368D"/>
    <w:rsid w:val="5AEA51A6"/>
    <w:rsid w:val="69CB1806"/>
    <w:rsid w:val="6F4550FB"/>
    <w:rsid w:val="7BA66235"/>
    <w:rsid w:val="7E244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spacing w:before="100" w:beforeAutospacing="1" w:after="100" w:afterAutospacing="1" w:line="440" w:lineRule="exact"/>
      <w:ind w:firstLine="720" w:firstLineChars="300"/>
      <w:jc w:val="left"/>
    </w:pPr>
    <w:rPr>
      <w:sz w:val="24"/>
    </w:rPr>
  </w:style>
  <w:style w:type="paragraph" w:styleId="4">
    <w:name w:val="Date"/>
    <w:basedOn w:val="1"/>
    <w:next w:val="1"/>
    <w:qFormat/>
    <w:uiPriority w:val="0"/>
    <w:pPr>
      <w:ind w:left="100" w:leftChars="2500"/>
    </w:pPr>
    <w:rPr>
      <w:rFonts w:eastAsia="华文楷体"/>
      <w:sz w:val="28"/>
    </w:rPr>
  </w:style>
  <w:style w:type="paragraph" w:styleId="5">
    <w:name w:val="Balloon Text"/>
    <w:basedOn w:val="1"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jc w:val="left"/>
    </w:pPr>
    <w:rPr>
      <w:rFonts w:ascii="Verdana" w:hAnsi="Verdana" w:cs="宋体"/>
      <w:color w:val="000000"/>
      <w:kern w:val="0"/>
      <w:sz w:val="18"/>
      <w:szCs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22"/>
    <w:rPr>
      <w:b/>
      <w:bCs/>
    </w:rPr>
  </w:style>
  <w:style w:type="character" w:styleId="13">
    <w:name w:val="page number"/>
    <w:basedOn w:val="11"/>
    <w:qFormat/>
    <w:uiPriority w:val="0"/>
  </w:style>
  <w:style w:type="character" w:styleId="14">
    <w:name w:val="Hyperlink"/>
    <w:qFormat/>
    <w:uiPriority w:val="0"/>
    <w:rPr>
      <w:color w:val="000000"/>
      <w:u w:val="none"/>
    </w:rPr>
  </w:style>
  <w:style w:type="character" w:customStyle="1" w:styleId="15">
    <w:name w:val="页脚 字符"/>
    <w:link w:val="6"/>
    <w:qFormat/>
    <w:uiPriority w:val="99"/>
    <w:rPr>
      <w:kern w:val="2"/>
      <w:sz w:val="18"/>
      <w:szCs w:val="18"/>
    </w:rPr>
  </w:style>
  <w:style w:type="character" w:customStyle="1" w:styleId="16">
    <w:name w:val="yongri_newsarticles_title1"/>
    <w:qFormat/>
    <w:uiPriority w:val="0"/>
    <w:rPr>
      <w:rFonts w:ascii="Tahoma" w:hAnsi="Tahoma"/>
      <w:b/>
      <w:sz w:val="27"/>
    </w:rPr>
  </w:style>
  <w:style w:type="character" w:customStyle="1" w:styleId="17">
    <w:name w:val="neirong1"/>
    <w:qFormat/>
    <w:uiPriority w:val="0"/>
    <w:rPr>
      <w:color w:val="333333"/>
      <w:sz w:val="18"/>
      <w:szCs w:val="18"/>
    </w:rPr>
  </w:style>
  <w:style w:type="paragraph" w:customStyle="1" w:styleId="18">
    <w:name w:val="样式1"/>
    <w:basedOn w:val="1"/>
    <w:semiHidden/>
    <w:qFormat/>
    <w:uiPriority w:val="0"/>
    <w:pPr>
      <w:numPr>
        <w:ilvl w:val="0"/>
        <w:numId w:val="1"/>
      </w:numPr>
      <w:jc w:val="left"/>
    </w:pPr>
    <w:rPr>
      <w:rFonts w:eastAsia="黑体"/>
      <w:b/>
      <w:sz w:val="24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  <w:style w:type="character" w:customStyle="1" w:styleId="20">
    <w:name w:val="apple-style-span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17</Pages>
  <Words>744</Words>
  <Characters>4242</Characters>
  <Lines>35</Lines>
  <Paragraphs>9</Paragraphs>
  <TotalTime>1</TotalTime>
  <ScaleCrop>false</ScaleCrop>
  <LinksUpToDate>false</LinksUpToDate>
  <CharactersWithSpaces>4977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2016-04-06T03:20:00Z</dcterms:created>
  <dc:creator>微软用户</dc:creator>
  <cp:lastModifiedBy>Administrator</cp:lastModifiedBy>
  <cp:lastPrinted>2016-03-29T07:16:00Z</cp:lastPrinted>
  <dcterms:modified xsi:type="dcterms:W3CDTF">2020-05-09T09:02:50Z</dcterms:modified>
  <dc:title>应教字 [2008] 14号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  <property fmtid="{D5CDD505-2E9C-101B-9397-08002B2CF9AE}" pid="3" name="KSORubyTemplateID" linkTarget="0">
    <vt:lpwstr>6</vt:lpwstr>
  </property>
</Properties>
</file>