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755"/>
        <w:tblW w:w="8500" w:type="dxa"/>
        <w:tblLayout w:type="fixed"/>
        <w:tblLook w:val="04A0" w:firstRow="1" w:lastRow="0" w:firstColumn="1" w:lastColumn="0" w:noHBand="0" w:noVBand="1"/>
      </w:tblPr>
      <w:tblGrid>
        <w:gridCol w:w="388"/>
        <w:gridCol w:w="588"/>
        <w:gridCol w:w="2057"/>
        <w:gridCol w:w="790"/>
        <w:gridCol w:w="4677"/>
      </w:tblGrid>
      <w:tr w:rsidR="00BA16CA" w:rsidTr="00BA16CA">
        <w:trPr>
          <w:trHeight w:val="52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开课学期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外教 课时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ind w:firstLineChars="500" w:firstLine="1104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培养目标</w:t>
            </w:r>
          </w:p>
        </w:tc>
      </w:tr>
      <w:tr w:rsidR="00BA16CA" w:rsidTr="00BA16CA">
        <w:trPr>
          <w:trHeight w:val="52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Hlk14958369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Business Communication II(商务沟通 II)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培养学生的沟通能力，公众演讲能力，团队协作能力等</w:t>
            </w:r>
          </w:p>
        </w:tc>
      </w:tr>
      <w:bookmarkEnd w:id="0"/>
      <w:tr w:rsidR="00BA16CA" w:rsidTr="00BA16CA">
        <w:trPr>
          <w:trHeight w:val="1388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Principles of Accounting I（会计原理Ⅰ）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培养学生了解国际会计准则、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能够</w:t>
            </w:r>
            <w:r>
              <w:rPr>
                <w:rFonts w:ascii="Arial" w:eastAsia="宋体" w:hAnsi="Arial" w:cs="Arial"/>
                <w:sz w:val="24"/>
                <w:szCs w:val="24"/>
                <w:lang w:val="zh-CN"/>
              </w:rPr>
              <w:t>为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单一实体编制财务报表</w:t>
            </w:r>
            <w:r>
              <w:rPr>
                <w:rFonts w:ascii="Arial" w:eastAsia="宋体" w:hAnsi="Arial" w:cs="Arial" w:hint="eastAsia"/>
                <w:sz w:val="24"/>
                <w:szCs w:val="24"/>
                <w:lang w:val="zh-CN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运用</w:t>
            </w:r>
            <w:r>
              <w:rPr>
                <w:rFonts w:ascii="Arial" w:eastAsia="宋体" w:hAnsi="Arial" w:cs="Arial"/>
                <w:sz w:val="24"/>
                <w:szCs w:val="24"/>
                <w:lang w:val="zh-CN"/>
              </w:rPr>
              <w:t>所学的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会计</w:t>
            </w:r>
            <w:r>
              <w:rPr>
                <w:rFonts w:ascii="Arial" w:eastAsia="宋体" w:hAnsi="Arial" w:cs="Arial"/>
                <w:sz w:val="24"/>
                <w:szCs w:val="24"/>
                <w:lang w:val="zh-CN"/>
              </w:rPr>
              <w:t>方法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和系统</w:t>
            </w:r>
            <w:r>
              <w:rPr>
                <w:rFonts w:ascii="Arial" w:eastAsia="宋体" w:hAnsi="Arial" w:cs="Arial"/>
                <w:sz w:val="24"/>
                <w:szCs w:val="24"/>
                <w:lang w:val="zh-CN"/>
              </w:rPr>
              <w:t>知识处理特别的业务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。能够</w:t>
            </w:r>
            <w:r>
              <w:rPr>
                <w:rFonts w:ascii="Arial" w:eastAsia="宋体" w:hAnsi="Arial" w:cs="Arial"/>
                <w:sz w:val="24"/>
                <w:szCs w:val="24"/>
                <w:lang w:val="zh-CN"/>
              </w:rPr>
              <w:t>通过计算一定的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比率</w:t>
            </w:r>
            <w:r>
              <w:rPr>
                <w:rFonts w:ascii="Arial" w:eastAsia="宋体" w:hAnsi="Arial" w:cs="Arial"/>
                <w:sz w:val="24"/>
                <w:szCs w:val="24"/>
                <w:lang w:val="zh-CN"/>
              </w:rPr>
              <w:t>评估企业的财务情况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。</w:t>
            </w:r>
          </w:p>
        </w:tc>
      </w:tr>
      <w:tr w:rsidR="00BA16CA" w:rsidTr="00BA16CA">
        <w:trPr>
          <w:trHeight w:val="669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Principles of Accounting II（会计原理Ⅱ）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16CA" w:rsidTr="00BA16CA">
        <w:trPr>
          <w:trHeight w:val="669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CIMA-BA3管理会计系列综合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通过课程重塑，将国际资质(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CIMA)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课程与学历教育体系课程融合，建立课程模块群，将会计原理1，2的课程知识综合运用和讲解，直接对接B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官方考试，大大提升通过率</w:t>
            </w:r>
          </w:p>
        </w:tc>
      </w:tr>
      <w:tr w:rsidR="00BA16CA" w:rsidTr="00BA16CA">
        <w:trPr>
          <w:trHeight w:val="669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Financial Accounting I（财务会计 I）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培养学生能够从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单一的公司财务报表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到完成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集团的完整财务报表。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同时，深入了解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广泛存在于报表中的国际标准。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掌握各种税的计算方法及应用，不同资本运营管理的政策及特点等。</w:t>
            </w:r>
          </w:p>
        </w:tc>
      </w:tr>
      <w:tr w:rsidR="00BA16CA" w:rsidTr="00BA16CA">
        <w:trPr>
          <w:trHeight w:val="669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Financial Accounting II(财务会计II)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16CA" w:rsidTr="00BA16CA">
        <w:trPr>
          <w:trHeight w:val="64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Managerial Accounting I（管理会计I）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培养拥有财务会计知识基础，懂得成本控制，风险管理与决策的管理会计人才</w:t>
            </w:r>
          </w:p>
        </w:tc>
      </w:tr>
      <w:tr w:rsidR="00BA16CA" w:rsidTr="00BA16CA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Managerial Accounting II（管理会计II）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16CA" w:rsidTr="00BA16CA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Principles of Marketing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(营销原理)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3D3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培养学生的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zh-CN"/>
              </w:rPr>
              <w:t>国际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lang w:val="zh-CN"/>
              </w:rPr>
              <w:t>商务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  <w:lang w:val="zh-CN"/>
              </w:rPr>
              <w:t>能力和素养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zh-CN"/>
              </w:rPr>
              <w:t>，了解国际市场营销的要素。这门课通过大量的阅读案例和撰写营销文案，拓宽学生的思路，提升英文水平，为C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val="zh-CN"/>
              </w:rPr>
              <w:t>IMA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zh-CN"/>
              </w:rPr>
              <w:t>运营级别案例做好准备</w:t>
            </w:r>
          </w:p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16CA" w:rsidTr="00BA16CA">
        <w:trPr>
          <w:trHeight w:val="713"/>
        </w:trPr>
        <w:tc>
          <w:tcPr>
            <w:tcW w:w="3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ind w:firstLineChars="1700" w:firstLine="3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1" w:name="_Hlk14958325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总课时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3D3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6CA" w:rsidRDefault="00BA1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bookmarkEnd w:id="1"/>
    <w:p w:rsidR="00523CFD" w:rsidRPr="00523CFD" w:rsidRDefault="00523CFD" w:rsidP="00523CFD">
      <w:pPr>
        <w:jc w:val="center"/>
        <w:rPr>
          <w:b/>
          <w:bCs/>
          <w:sz w:val="22"/>
          <w:szCs w:val="24"/>
        </w:rPr>
      </w:pPr>
      <w:r w:rsidRPr="00523CFD">
        <w:rPr>
          <w:rFonts w:hint="eastAsia"/>
          <w:b/>
          <w:bCs/>
          <w:sz w:val="22"/>
          <w:szCs w:val="24"/>
        </w:rPr>
        <w:t>南京审计大学金审学院</w:t>
      </w:r>
    </w:p>
    <w:p w:rsidR="003C4C19" w:rsidRPr="00523CFD" w:rsidRDefault="00523CFD" w:rsidP="00523CFD">
      <w:pPr>
        <w:jc w:val="center"/>
        <w:rPr>
          <w:b/>
          <w:bCs/>
          <w:sz w:val="22"/>
          <w:szCs w:val="24"/>
        </w:rPr>
      </w:pPr>
      <w:r w:rsidRPr="00523CFD">
        <w:rPr>
          <w:rFonts w:hint="eastAsia"/>
          <w:b/>
          <w:bCs/>
          <w:sz w:val="22"/>
          <w:szCs w:val="24"/>
        </w:rPr>
        <w:t>C</w:t>
      </w:r>
      <w:r w:rsidRPr="00523CFD">
        <w:rPr>
          <w:b/>
          <w:bCs/>
          <w:sz w:val="22"/>
          <w:szCs w:val="24"/>
        </w:rPr>
        <w:t>IMA</w:t>
      </w:r>
      <w:r w:rsidRPr="00523CFD">
        <w:rPr>
          <w:rFonts w:hint="eastAsia"/>
          <w:b/>
          <w:bCs/>
          <w:sz w:val="22"/>
          <w:szCs w:val="24"/>
        </w:rPr>
        <w:t>方向班教学计划</w:t>
      </w:r>
    </w:p>
    <w:p w:rsidR="003C4C19" w:rsidRDefault="003C4C19"/>
    <w:p w:rsidR="00BA16CA" w:rsidRDefault="00BA16CA"/>
    <w:p w:rsidR="003D3A13" w:rsidRDefault="003D3A13">
      <w:pPr>
        <w:rPr>
          <w:rFonts w:hint="eastAsia"/>
        </w:rPr>
      </w:pPr>
      <w:bookmarkStart w:id="2" w:name="_GoBack"/>
      <w:bookmarkEnd w:id="2"/>
    </w:p>
    <w:p w:rsidR="00BA16CA" w:rsidRDefault="00BA16CA"/>
    <w:p w:rsidR="00BA16CA" w:rsidRDefault="00BA16CA"/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3114"/>
        <w:gridCol w:w="5408"/>
      </w:tblGrid>
      <w:tr w:rsidR="003C4C19">
        <w:tc>
          <w:tcPr>
            <w:tcW w:w="8522" w:type="dxa"/>
            <w:gridSpan w:val="2"/>
          </w:tcPr>
          <w:p w:rsidR="003C4C19" w:rsidRDefault="00523CFD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C</w:t>
            </w:r>
            <w:r>
              <w:rPr>
                <w:b/>
                <w:bCs/>
                <w:kern w:val="0"/>
                <w:sz w:val="20"/>
                <w:szCs w:val="20"/>
              </w:rPr>
              <w:t>IMA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方向班教学大纲</w:t>
            </w:r>
          </w:p>
        </w:tc>
      </w:tr>
      <w:tr w:rsidR="003C4C19">
        <w:tc>
          <w:tcPr>
            <w:tcW w:w="3114" w:type="dxa"/>
          </w:tcPr>
          <w:p w:rsidR="003C4C19" w:rsidRDefault="00523CFD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408" w:type="dxa"/>
          </w:tcPr>
          <w:p w:rsidR="003C4C19" w:rsidRDefault="00523CFD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课程概要</w:t>
            </w:r>
          </w:p>
        </w:tc>
      </w:tr>
      <w:tr w:rsidR="003C4C19">
        <w:tc>
          <w:tcPr>
            <w:tcW w:w="3114" w:type="dxa"/>
            <w:vAlign w:val="center"/>
          </w:tcPr>
          <w:p w:rsidR="003C4C19" w:rsidRDefault="00523CFD">
            <w:pPr>
              <w:widowControl/>
              <w:spacing w:line="360" w:lineRule="auto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Business Communication II(商务沟通 II)</w:t>
            </w:r>
          </w:p>
        </w:tc>
        <w:tc>
          <w:tcPr>
            <w:tcW w:w="5408" w:type="dxa"/>
          </w:tcPr>
          <w:p w:rsidR="003C4C19" w:rsidRDefault="00523CFD">
            <w:pPr>
              <w:numPr>
                <w:ilvl w:val="0"/>
                <w:numId w:val="1"/>
              </w:numPr>
              <w:ind w:left="720" w:hanging="72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了解商务写作的受众,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目的及意义</w:t>
            </w:r>
          </w:p>
          <w:p w:rsidR="003C4C19" w:rsidRDefault="00523CFD">
            <w:pPr>
              <w:numPr>
                <w:ilvl w:val="0"/>
                <w:numId w:val="1"/>
              </w:numPr>
              <w:ind w:left="720" w:hanging="72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掌握商务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写作过程的三个阶段</w:t>
            </w:r>
          </w:p>
          <w:p w:rsidR="003C4C19" w:rsidRDefault="00523CFD">
            <w:pPr>
              <w:numPr>
                <w:ilvl w:val="0"/>
                <w:numId w:val="1"/>
              </w:numPr>
              <w:ind w:left="720" w:hanging="72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熟练应用常用的商务写作的文体，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例如电子邮件、信件、有说服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力的文件、报告、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投诉信、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提案、会议记录和备忘录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.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能够制作P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PT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并进行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口头陈述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、演讲、掌握沟通的要素</w:t>
            </w:r>
          </w:p>
          <w:p w:rsidR="003C4C19" w:rsidRDefault="00523CFD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为求职准备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高质量的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简历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和了解面试技巧</w:t>
            </w:r>
          </w:p>
        </w:tc>
      </w:tr>
      <w:tr w:rsidR="003C4C19">
        <w:tc>
          <w:tcPr>
            <w:tcW w:w="3114" w:type="dxa"/>
            <w:vAlign w:val="center"/>
          </w:tcPr>
          <w:p w:rsidR="003C4C19" w:rsidRDefault="00523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Principles of Accounting I（会计原理Ⅰ） </w:t>
            </w:r>
          </w:p>
        </w:tc>
        <w:tc>
          <w:tcPr>
            <w:tcW w:w="5408" w:type="dxa"/>
          </w:tcPr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准备资产负债表、损益表、权益变动表和现金流量表,使用间接和直接方法。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确定内部控制的目标和程序。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短期投资和应收账款,包括坏账。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准备损益表、权益变动表和财务状况表,并解释这些报表如何相互关联。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永久库存系统中货物采购和销售科目</w:t>
            </w:r>
          </w:p>
        </w:tc>
      </w:tr>
      <w:tr w:rsidR="003C4C19">
        <w:tc>
          <w:tcPr>
            <w:tcW w:w="3114" w:type="dxa"/>
            <w:vAlign w:val="center"/>
          </w:tcPr>
          <w:p w:rsidR="003C4C19" w:rsidRDefault="00523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Principles of Accounting II（会计原理Ⅱ） </w:t>
            </w:r>
          </w:p>
        </w:tc>
        <w:tc>
          <w:tcPr>
            <w:tcW w:w="5408" w:type="dxa"/>
          </w:tcPr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1. 确定适当的报告标准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《国际财务报告准则》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或"国际财务报告准则"。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2. 本期和其他非流动负债的账户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处理问题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3. 了解责任确认和列报的基本原则,并建议适当处理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4. 准备与长期负债有关的所有日记帐分录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lang w:val="en-SG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5. 使用直接和间接方法编制现金流量表</w:t>
            </w:r>
          </w:p>
        </w:tc>
      </w:tr>
      <w:tr w:rsidR="003C4C19">
        <w:tc>
          <w:tcPr>
            <w:tcW w:w="3114" w:type="dxa"/>
            <w:vAlign w:val="center"/>
          </w:tcPr>
          <w:p w:rsidR="003C4C19" w:rsidRDefault="00523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CIMA-BA3管理会计系列综合 </w:t>
            </w:r>
          </w:p>
        </w:tc>
        <w:tc>
          <w:tcPr>
            <w:tcW w:w="5408" w:type="dxa"/>
          </w:tcPr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1.解释财务会计的原则和概念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2. 准备会计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分录，熟悉复式记账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分类账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、试算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平衡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、非流动资产登记的原则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3. 准备特定交易记录的会计分录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如计算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增值税,准备工资单会计分录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准备股票发行的会计分录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4. 准备会计调整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，从不完整的 记录编制会计报表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确定会计比率的信息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计算基本会计比率</w:t>
            </w:r>
          </w:p>
          <w:p w:rsidR="003C4C19" w:rsidRDefault="003C4C19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lang w:val="en-SG"/>
              </w:rPr>
            </w:pPr>
          </w:p>
        </w:tc>
      </w:tr>
      <w:tr w:rsidR="003C4C19">
        <w:tc>
          <w:tcPr>
            <w:tcW w:w="3114" w:type="dxa"/>
            <w:vAlign w:val="center"/>
          </w:tcPr>
          <w:p w:rsidR="003C4C19" w:rsidRDefault="00523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Financial Accounting I（财务会计 I） </w:t>
            </w:r>
          </w:p>
        </w:tc>
        <w:tc>
          <w:tcPr>
            <w:tcW w:w="5408" w:type="dxa"/>
          </w:tcPr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1.了解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和分析库存方法对财务和税务报告的影响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使用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不同方法如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FIFO、LIFO和加权平均方法计算永久系统中的库存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记录与公司相关的交易记录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区分运营、投资和融资活动,并描述非现金投资和融资活动如何披露。 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5.能够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准备现金流量表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分析现金流量表,将现金流量应用于总资产比率。</w:t>
            </w:r>
          </w:p>
        </w:tc>
      </w:tr>
      <w:tr w:rsidR="003C4C19">
        <w:tc>
          <w:tcPr>
            <w:tcW w:w="3114" w:type="dxa"/>
            <w:vAlign w:val="center"/>
          </w:tcPr>
          <w:p w:rsidR="003C4C19" w:rsidRDefault="00523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Financial Accounting II(财务会计II) </w:t>
            </w:r>
          </w:p>
        </w:tc>
        <w:tc>
          <w:tcPr>
            <w:tcW w:w="5408" w:type="dxa"/>
          </w:tcPr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1. 长期资产的购买、折旧和处置账户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2. 以有效利息方法发行的面值、贴现或溢价的债券,包括全额和部分期间的利息支付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3. 适用与股东权益会计相关的规则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4. 准备股东权益部分和相关日记帐分录</w:t>
            </w:r>
          </w:p>
          <w:p w:rsidR="003C4C19" w:rsidRDefault="00523CF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5. 描述损益表中的损益表</w:t>
            </w:r>
          </w:p>
        </w:tc>
      </w:tr>
      <w:tr w:rsidR="003C4C19">
        <w:tc>
          <w:tcPr>
            <w:tcW w:w="3114" w:type="dxa"/>
            <w:vAlign w:val="center"/>
          </w:tcPr>
          <w:p w:rsidR="003C4C19" w:rsidRDefault="00523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 Managerial Accounting I（管理会计I） </w:t>
            </w:r>
          </w:p>
        </w:tc>
        <w:tc>
          <w:tcPr>
            <w:tcW w:w="5408" w:type="dxa"/>
          </w:tcPr>
          <w:p w:rsidR="003C4C19" w:rsidRDefault="00523CFD">
            <w:pPr>
              <w:numPr>
                <w:ilvl w:val="0"/>
                <w:numId w:val="2"/>
              </w:numPr>
              <w:ind w:left="720" w:hanging="72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管理会计的起源、性质、成本会计的相关内容；</w:t>
            </w:r>
          </w:p>
          <w:p w:rsidR="003C4C19" w:rsidRDefault="00523CFD">
            <w:pPr>
              <w:numPr>
                <w:ilvl w:val="0"/>
                <w:numId w:val="2"/>
              </w:numPr>
              <w:ind w:left="720" w:hanging="72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解释管理会计与财务会计的主要区别</w:t>
            </w:r>
          </w:p>
          <w:p w:rsidR="003C4C19" w:rsidRDefault="00523CFD">
            <w:pPr>
              <w:numPr>
                <w:ilvl w:val="0"/>
                <w:numId w:val="2"/>
              </w:numPr>
              <w:ind w:left="720" w:hanging="72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企业预算编制的准备、标准成本法以及成本分析模</w:t>
            </w:r>
            <w:r>
              <w:rPr>
                <w:rFonts w:hint="eastAsia"/>
                <w:kern w:val="0"/>
                <w:sz w:val="20"/>
                <w:szCs w:val="20"/>
              </w:rPr>
              <w:t>型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企业绩效的评估及提升企业绩效的方法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5.理解和解释价值链概念</w:t>
            </w:r>
          </w:p>
        </w:tc>
      </w:tr>
      <w:tr w:rsidR="003C4C19">
        <w:tc>
          <w:tcPr>
            <w:tcW w:w="3114" w:type="dxa"/>
            <w:vAlign w:val="center"/>
          </w:tcPr>
          <w:p w:rsidR="003C4C19" w:rsidRDefault="00523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Managerial Accounting II（管理会计II） </w:t>
            </w:r>
          </w:p>
        </w:tc>
        <w:tc>
          <w:tcPr>
            <w:tcW w:w="5408" w:type="dxa"/>
          </w:tcPr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1. 了解作业顺序并将其与流程成本核算进行比较 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2. 设计和使用基于活动的成本核算系统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3. 评估和编制管理会计报表 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4. 对制造公司的各种成本进行分类和分析 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5. 计算和分配产品制造的间接费用</w:t>
            </w:r>
          </w:p>
        </w:tc>
      </w:tr>
      <w:tr w:rsidR="003C4C19">
        <w:tc>
          <w:tcPr>
            <w:tcW w:w="3114" w:type="dxa"/>
            <w:vAlign w:val="center"/>
          </w:tcPr>
          <w:p w:rsidR="003C4C19" w:rsidRDefault="00523C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Principles of Marketing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(营销原理) </w:t>
            </w:r>
          </w:p>
        </w:tc>
        <w:tc>
          <w:tcPr>
            <w:tcW w:w="5408" w:type="dxa"/>
          </w:tcPr>
          <w:p w:rsidR="003C4C19" w:rsidRDefault="00523CFD">
            <w:pPr>
              <w:widowControl/>
              <w:suppressAutoHyphens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1.组织的发展方向和营销理念的发展,与销售和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以客户为导向的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推广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的区别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2.营销研究规划步骤概述,以及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了解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和分析客户需求和目标细分市场的重要性 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有效的营销数据的重要性、信息系统和新技术的作用 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分销渠道和分销的替代方法,包括通过电子方式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实现直接分发的增长</w:t>
            </w:r>
          </w:p>
          <w:p w:rsidR="003C4C19" w:rsidRDefault="00523CF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对商品和服务组合的不同调整的基本评估</w:t>
            </w:r>
          </w:p>
        </w:tc>
      </w:tr>
    </w:tbl>
    <w:p w:rsidR="003C4C19" w:rsidRDefault="003C4C19"/>
    <w:p w:rsidR="003C4C19" w:rsidRDefault="003C4C19"/>
    <w:sectPr w:rsidR="003C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DE3" w:rsidRDefault="00002DE3" w:rsidP="00BA16CA">
      <w:r>
        <w:separator/>
      </w:r>
    </w:p>
  </w:endnote>
  <w:endnote w:type="continuationSeparator" w:id="0">
    <w:p w:rsidR="00002DE3" w:rsidRDefault="00002DE3" w:rsidP="00BA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DE3" w:rsidRDefault="00002DE3" w:rsidP="00BA16CA">
      <w:r>
        <w:separator/>
      </w:r>
    </w:p>
  </w:footnote>
  <w:footnote w:type="continuationSeparator" w:id="0">
    <w:p w:rsidR="00002DE3" w:rsidRDefault="00002DE3" w:rsidP="00BA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2222"/>
    <w:multiLevelType w:val="singleLevel"/>
    <w:tmpl w:val="25B7222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BF11405"/>
    <w:multiLevelType w:val="singleLevel"/>
    <w:tmpl w:val="4BF1140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F1"/>
    <w:rsid w:val="00002DE3"/>
    <w:rsid w:val="000E3521"/>
    <w:rsid w:val="00121106"/>
    <w:rsid w:val="00153F58"/>
    <w:rsid w:val="00180789"/>
    <w:rsid w:val="001B477C"/>
    <w:rsid w:val="002336F9"/>
    <w:rsid w:val="00316E88"/>
    <w:rsid w:val="00365213"/>
    <w:rsid w:val="003741D7"/>
    <w:rsid w:val="00381778"/>
    <w:rsid w:val="00393139"/>
    <w:rsid w:val="003C4003"/>
    <w:rsid w:val="003C4C19"/>
    <w:rsid w:val="003D3A13"/>
    <w:rsid w:val="003E587F"/>
    <w:rsid w:val="00401EE1"/>
    <w:rsid w:val="004325B8"/>
    <w:rsid w:val="00512FEE"/>
    <w:rsid w:val="00523CFD"/>
    <w:rsid w:val="00536168"/>
    <w:rsid w:val="00545602"/>
    <w:rsid w:val="00551DE1"/>
    <w:rsid w:val="00777566"/>
    <w:rsid w:val="00794A98"/>
    <w:rsid w:val="00794C78"/>
    <w:rsid w:val="007A5CFB"/>
    <w:rsid w:val="007D3E92"/>
    <w:rsid w:val="007E22AD"/>
    <w:rsid w:val="00845092"/>
    <w:rsid w:val="008455A7"/>
    <w:rsid w:val="00933C2A"/>
    <w:rsid w:val="0096031B"/>
    <w:rsid w:val="00A17AF1"/>
    <w:rsid w:val="00A17B68"/>
    <w:rsid w:val="00A8114C"/>
    <w:rsid w:val="00A81E69"/>
    <w:rsid w:val="00A910A5"/>
    <w:rsid w:val="00A95612"/>
    <w:rsid w:val="00B84753"/>
    <w:rsid w:val="00BA16CA"/>
    <w:rsid w:val="00C82924"/>
    <w:rsid w:val="00CF6B58"/>
    <w:rsid w:val="00D05B0D"/>
    <w:rsid w:val="00DD0F66"/>
    <w:rsid w:val="00DD730C"/>
    <w:rsid w:val="00E648B2"/>
    <w:rsid w:val="00E9793B"/>
    <w:rsid w:val="00F536A1"/>
    <w:rsid w:val="00F55BD7"/>
    <w:rsid w:val="00F9209D"/>
    <w:rsid w:val="00FE6108"/>
    <w:rsid w:val="686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AE8C4"/>
  <w15:docId w15:val="{EF734C94-7474-4AF1-8AB9-029AFC1B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DefaultParagraphFont"/>
    <w:qFormat/>
  </w:style>
  <w:style w:type="paragraph" w:customStyle="1" w:styleId="ListParagraph1">
    <w:name w:val="List Paragraph1"/>
    <w:basedOn w:val="Normal"/>
    <w:uiPriority w:val="34"/>
    <w:qFormat/>
    <w:pPr>
      <w:widowControl/>
      <w:suppressAutoHyphens/>
      <w:ind w:left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ts-alignment-element-highlighted">
    <w:name w:val="ts-alignment-element-highlighted"/>
    <w:basedOn w:val="DefaultParagraphFont"/>
    <w:qFormat/>
  </w:style>
  <w:style w:type="paragraph" w:styleId="Header">
    <w:name w:val="header"/>
    <w:basedOn w:val="Normal"/>
    <w:link w:val="HeaderChar"/>
    <w:uiPriority w:val="99"/>
    <w:unhideWhenUsed/>
    <w:rsid w:val="00BA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16C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16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sxy-citech sxy-citech</dc:creator>
  <cp:lastModifiedBy>Haiming Ma</cp:lastModifiedBy>
  <cp:revision>49</cp:revision>
  <dcterms:created xsi:type="dcterms:W3CDTF">2019-07-25T05:55:00Z</dcterms:created>
  <dcterms:modified xsi:type="dcterms:W3CDTF">2019-08-20T00:52:00Z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