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2F289">
      <w:pPr>
        <w:pStyle w:val="2"/>
        <w:spacing w:before="120" w:after="120"/>
        <w:jc w:val="center"/>
        <w:rPr>
          <w:rFonts w:ascii="宋体" w:hAnsi="宋体" w:eastAsia="宋体" w:cs="宋体"/>
          <w:sz w:val="36"/>
          <w:szCs w:val="28"/>
        </w:rPr>
      </w:pPr>
      <w:bookmarkStart w:id="1" w:name="_GoBack"/>
      <w:bookmarkEnd w:id="1"/>
      <w:r>
        <w:rPr>
          <w:rFonts w:hint="eastAsia" w:ascii="宋体" w:hAnsi="宋体" w:eastAsia="宋体" w:cs="宋体"/>
          <w:sz w:val="36"/>
          <w:szCs w:val="28"/>
        </w:rPr>
        <w:t>南京审计大学金审学院消防整改工程</w:t>
      </w:r>
    </w:p>
    <w:p w14:paraId="5CE777D2">
      <w:pPr>
        <w:pStyle w:val="2"/>
        <w:spacing w:before="120" w:after="120"/>
        <w:jc w:val="center"/>
        <w:rPr>
          <w:rFonts w:ascii="宋体" w:hAnsi="宋体" w:eastAsia="宋体" w:cs="宋体"/>
          <w:sz w:val="36"/>
          <w:szCs w:val="28"/>
        </w:rPr>
      </w:pPr>
      <w:r>
        <w:rPr>
          <w:rFonts w:hint="eastAsia" w:ascii="宋体" w:hAnsi="宋体" w:eastAsia="宋体" w:cs="宋体"/>
          <w:sz w:val="36"/>
          <w:szCs w:val="28"/>
        </w:rPr>
        <w:t>工程量清单及招标控制价编制说明</w:t>
      </w:r>
    </w:p>
    <w:p w14:paraId="39220984">
      <w:pPr>
        <w:spacing w:line="360" w:lineRule="auto"/>
        <w:outlineLvl w:val="0"/>
        <w:rPr>
          <w:rFonts w:ascii="楷体" w:hAnsi="楷体" w:eastAsia="楷体" w:cs="楷体"/>
          <w:b/>
          <w:bCs/>
          <w:sz w:val="24"/>
        </w:rPr>
      </w:pPr>
      <w:r>
        <w:rPr>
          <w:rFonts w:hint="eastAsia" w:ascii="楷体" w:hAnsi="楷体" w:eastAsia="楷体" w:cs="楷体"/>
          <w:b/>
          <w:bCs/>
          <w:sz w:val="24"/>
        </w:rPr>
        <w:t>一、工程概况</w:t>
      </w:r>
    </w:p>
    <w:p w14:paraId="59C257FA">
      <w:pPr>
        <w:spacing w:line="360" w:lineRule="auto"/>
        <w:ind w:firstLine="480" w:firstLineChars="200"/>
        <w:rPr>
          <w:rFonts w:ascii="仿宋" w:hAnsi="仿宋" w:eastAsia="仿宋" w:cs="仿宋"/>
          <w:sz w:val="24"/>
        </w:rPr>
      </w:pPr>
      <w:r>
        <w:rPr>
          <w:rFonts w:hint="eastAsia" w:ascii="仿宋" w:hAnsi="仿宋" w:eastAsia="仿宋" w:cs="仿宋"/>
          <w:sz w:val="24"/>
        </w:rPr>
        <w:t>南京审计大学金审学院消防整改工程位于南京市栖霞区仙林大学城仙林大道100号南京审计大学金审学院校区内</w:t>
      </w:r>
    </w:p>
    <w:p w14:paraId="49D254EC">
      <w:pPr>
        <w:spacing w:line="360" w:lineRule="auto"/>
        <w:outlineLvl w:val="0"/>
        <w:rPr>
          <w:rFonts w:ascii="楷体" w:hAnsi="楷体" w:eastAsia="楷体" w:cs="楷体"/>
          <w:b/>
          <w:bCs/>
          <w:sz w:val="24"/>
        </w:rPr>
      </w:pPr>
      <w:r>
        <w:rPr>
          <w:rFonts w:hint="eastAsia" w:ascii="楷体" w:hAnsi="楷体" w:eastAsia="楷体" w:cs="楷体"/>
          <w:b/>
          <w:bCs/>
          <w:sz w:val="24"/>
        </w:rPr>
        <w:t>二、整改范围</w:t>
      </w:r>
    </w:p>
    <w:p w14:paraId="7C1C6E49">
      <w:pPr>
        <w:spacing w:line="360" w:lineRule="auto"/>
        <w:ind w:firstLine="480" w:firstLineChars="200"/>
        <w:rPr>
          <w:rFonts w:ascii="仿宋" w:hAnsi="仿宋" w:eastAsia="仿宋" w:cs="仿宋"/>
          <w:sz w:val="24"/>
        </w:rPr>
      </w:pPr>
      <w:r>
        <w:rPr>
          <w:rFonts w:hint="eastAsia" w:ascii="仿宋" w:hAnsi="仿宋" w:eastAsia="仿宋" w:cs="仿宋"/>
          <w:sz w:val="24"/>
        </w:rPr>
        <w:t>1、专家楼及后勤楼增加应急照明系统；</w:t>
      </w:r>
    </w:p>
    <w:p w14:paraId="39EC80DD">
      <w:pPr>
        <w:spacing w:line="360" w:lineRule="auto"/>
        <w:ind w:firstLine="480" w:firstLineChars="200"/>
        <w:rPr>
          <w:rFonts w:ascii="仿宋" w:hAnsi="仿宋" w:eastAsia="仿宋" w:cs="仿宋"/>
          <w:sz w:val="24"/>
        </w:rPr>
      </w:pPr>
      <w:r>
        <w:rPr>
          <w:rFonts w:hint="eastAsia" w:ascii="仿宋" w:hAnsi="仿宋" w:eastAsia="仿宋" w:cs="仿宋"/>
          <w:sz w:val="24"/>
        </w:rPr>
        <w:t>2、根据消防验收检查单上的问题进行整改的内容（安装部分）；</w:t>
      </w:r>
    </w:p>
    <w:p w14:paraId="5DB4326D">
      <w:pPr>
        <w:spacing w:line="360" w:lineRule="auto"/>
        <w:ind w:firstLine="480" w:firstLineChars="200"/>
        <w:rPr>
          <w:rFonts w:ascii="仿宋" w:hAnsi="仿宋" w:eastAsia="仿宋" w:cs="仿宋"/>
          <w:sz w:val="24"/>
        </w:rPr>
      </w:pPr>
      <w:r>
        <w:rPr>
          <w:rFonts w:hint="eastAsia" w:ascii="仿宋" w:hAnsi="仿宋" w:eastAsia="仿宋" w:cs="仿宋"/>
          <w:sz w:val="24"/>
        </w:rPr>
        <w:t>3、泵房更换消防泵控制柜及相关工程。</w:t>
      </w:r>
    </w:p>
    <w:p w14:paraId="62D89E47">
      <w:pPr>
        <w:spacing w:line="360" w:lineRule="auto"/>
        <w:outlineLvl w:val="0"/>
        <w:rPr>
          <w:rFonts w:ascii="楷体" w:hAnsi="楷体" w:eastAsia="楷体" w:cs="楷体"/>
          <w:b/>
          <w:bCs/>
          <w:sz w:val="24"/>
        </w:rPr>
      </w:pPr>
      <w:r>
        <w:rPr>
          <w:rFonts w:hint="eastAsia" w:ascii="楷体" w:hAnsi="楷体" w:eastAsia="楷体" w:cs="楷体"/>
          <w:b/>
          <w:bCs/>
          <w:sz w:val="24"/>
        </w:rPr>
        <w:t>三、编制依据</w:t>
      </w:r>
    </w:p>
    <w:p w14:paraId="6F619191">
      <w:pPr>
        <w:spacing w:line="360" w:lineRule="auto"/>
        <w:ind w:firstLine="480" w:firstLineChars="200"/>
        <w:rPr>
          <w:rFonts w:ascii="仿宋" w:hAnsi="仿宋" w:eastAsia="仿宋" w:cs="仿宋"/>
          <w:sz w:val="24"/>
        </w:rPr>
      </w:pPr>
      <w:r>
        <w:rPr>
          <w:rFonts w:hint="eastAsia" w:ascii="仿宋" w:hAnsi="仿宋" w:eastAsia="仿宋" w:cs="仿宋"/>
          <w:sz w:val="24"/>
        </w:rPr>
        <w:t>1、委托人提供的本工程整改清单、消防验收检查单。</w:t>
      </w:r>
    </w:p>
    <w:p w14:paraId="2F706417">
      <w:pPr>
        <w:spacing w:line="360" w:lineRule="auto"/>
        <w:ind w:firstLine="480" w:firstLineChars="200"/>
        <w:rPr>
          <w:rFonts w:ascii="仿宋" w:hAnsi="仿宋" w:eastAsia="仿宋" w:cs="仿宋"/>
          <w:sz w:val="24"/>
        </w:rPr>
      </w:pPr>
      <w:r>
        <w:rPr>
          <w:rFonts w:hint="eastAsia" w:ascii="仿宋" w:hAnsi="仿宋" w:eastAsia="仿宋" w:cs="仿宋"/>
          <w:sz w:val="24"/>
        </w:rPr>
        <w:t>2、《建设工程工程量清单计价规范》（GB50500-2013）及其配套9本工程量计算规范。</w:t>
      </w:r>
    </w:p>
    <w:p w14:paraId="17BC729F">
      <w:pPr>
        <w:spacing w:line="360" w:lineRule="auto"/>
        <w:ind w:firstLine="480" w:firstLineChars="200"/>
        <w:rPr>
          <w:rFonts w:ascii="仿宋" w:hAnsi="仿宋" w:eastAsia="仿宋" w:cs="仿宋"/>
          <w:sz w:val="24"/>
        </w:rPr>
      </w:pPr>
      <w:r>
        <w:rPr>
          <w:rFonts w:hint="eastAsia" w:ascii="仿宋" w:hAnsi="仿宋" w:eastAsia="仿宋" w:cs="仿宋"/>
          <w:sz w:val="24"/>
        </w:rPr>
        <w:t>3、江苏省住房和城乡建设厅发布的《关于&lt;建设工程工程量清单计价规范&gt;（GB50500-2013）及其9本工程量计算规范的贯彻意见》（苏建价〔2014〕448号）。</w:t>
      </w:r>
    </w:p>
    <w:p w14:paraId="1E770393">
      <w:pPr>
        <w:spacing w:line="360" w:lineRule="auto"/>
        <w:ind w:firstLine="480" w:firstLineChars="200"/>
        <w:rPr>
          <w:rFonts w:ascii="仿宋" w:hAnsi="仿宋" w:eastAsia="仿宋" w:cs="仿宋"/>
          <w:sz w:val="24"/>
        </w:rPr>
      </w:pPr>
      <w:r>
        <w:rPr>
          <w:rFonts w:hint="eastAsia" w:ascii="仿宋" w:hAnsi="仿宋" w:eastAsia="仿宋" w:cs="仿宋"/>
          <w:sz w:val="24"/>
        </w:rPr>
        <w:t>4、《江苏省建筑与装饰工程计价定额》（2014年）、《江苏省安装工程计价定额》（2014年））。</w:t>
      </w:r>
    </w:p>
    <w:p w14:paraId="573BF39D">
      <w:pPr>
        <w:spacing w:line="360" w:lineRule="auto"/>
        <w:ind w:firstLine="480" w:firstLineChars="200"/>
        <w:rPr>
          <w:rFonts w:ascii="仿宋" w:hAnsi="仿宋" w:eastAsia="仿宋" w:cs="仿宋"/>
          <w:sz w:val="24"/>
        </w:rPr>
      </w:pPr>
      <w:r>
        <w:rPr>
          <w:rFonts w:hint="eastAsia" w:ascii="仿宋" w:hAnsi="仿宋" w:eastAsia="仿宋" w:cs="仿宋"/>
          <w:sz w:val="24"/>
        </w:rPr>
        <w:t>5、江苏省住房和城乡建设厅发布的《关于建筑业实施营改增后江苏省建设工程计价依据调整的通知》（苏建价〔2016〕154号）及其调整文件。</w:t>
      </w:r>
    </w:p>
    <w:p w14:paraId="6CCEEF75">
      <w:pPr>
        <w:spacing w:line="360" w:lineRule="auto"/>
        <w:ind w:firstLine="480" w:firstLineChars="200"/>
        <w:rPr>
          <w:rFonts w:ascii="仿宋" w:hAnsi="仿宋" w:eastAsia="仿宋" w:cs="仿宋"/>
          <w:sz w:val="24"/>
        </w:rPr>
      </w:pPr>
      <w:r>
        <w:rPr>
          <w:rFonts w:hint="eastAsia" w:ascii="仿宋" w:hAnsi="仿宋" w:eastAsia="仿宋" w:cs="仿宋"/>
          <w:sz w:val="24"/>
        </w:rPr>
        <w:t>6、江苏省住房和城乡建设厅发布的《关于调整建设工程按质论价等费用计取方法的公告》（〔2018〕第24号）。</w:t>
      </w:r>
    </w:p>
    <w:p w14:paraId="33F641A3">
      <w:pPr>
        <w:spacing w:line="360" w:lineRule="auto"/>
        <w:ind w:firstLine="480" w:firstLineChars="200"/>
        <w:rPr>
          <w:rFonts w:ascii="仿宋" w:hAnsi="仿宋" w:eastAsia="仿宋" w:cs="仿宋"/>
          <w:sz w:val="24"/>
        </w:rPr>
      </w:pPr>
      <w:r>
        <w:rPr>
          <w:rFonts w:hint="eastAsia" w:ascii="仿宋" w:hAnsi="仿宋" w:eastAsia="仿宋" w:cs="仿宋"/>
          <w:sz w:val="24"/>
        </w:rPr>
        <w:t>7、江苏省住房和城乡建设厅发布的《关于调整建设工程计价增值税税率的通知》（苏建函价〔2019〕178号）。</w:t>
      </w:r>
    </w:p>
    <w:p w14:paraId="14101134">
      <w:pPr>
        <w:spacing w:line="360" w:lineRule="auto"/>
        <w:ind w:firstLine="480" w:firstLineChars="200"/>
        <w:rPr>
          <w:rFonts w:ascii="仿宋" w:hAnsi="仿宋" w:eastAsia="仿宋" w:cs="仿宋"/>
          <w:sz w:val="24"/>
        </w:rPr>
      </w:pPr>
      <w:r>
        <w:rPr>
          <w:rFonts w:hint="eastAsia" w:ascii="仿宋" w:hAnsi="仿宋" w:eastAsia="仿宋" w:cs="仿宋"/>
          <w:sz w:val="24"/>
        </w:rPr>
        <w:t>9、江苏省住房和城乡建设厅发布的《关于建筑工人实名制费用计取方法的公告》（〔2019〕第19号）。</w:t>
      </w:r>
    </w:p>
    <w:p w14:paraId="38D2885D">
      <w:pPr>
        <w:spacing w:line="360" w:lineRule="auto"/>
        <w:ind w:firstLine="480" w:firstLineChars="200"/>
        <w:rPr>
          <w:rFonts w:ascii="仿宋" w:hAnsi="仿宋" w:eastAsia="仿宋" w:cs="仿宋"/>
          <w:sz w:val="24"/>
        </w:rPr>
      </w:pPr>
      <w:r>
        <w:rPr>
          <w:rFonts w:hint="eastAsia" w:ascii="仿宋" w:hAnsi="仿宋" w:eastAsia="仿宋" w:cs="仿宋"/>
          <w:sz w:val="24"/>
        </w:rPr>
        <w:t>10、江苏省住房和城乡建设厅发布的《关于智慧工地费用计取方法的公告》（〔2021〕第16号）。</w:t>
      </w:r>
    </w:p>
    <w:p w14:paraId="0C30865C">
      <w:pPr>
        <w:spacing w:line="360" w:lineRule="auto"/>
        <w:ind w:firstLine="480" w:firstLineChars="200"/>
        <w:rPr>
          <w:rFonts w:ascii="仿宋" w:hAnsi="仿宋" w:eastAsia="仿宋" w:cs="仿宋"/>
          <w:sz w:val="24"/>
        </w:rPr>
      </w:pPr>
      <w:r>
        <w:rPr>
          <w:rFonts w:hint="eastAsia" w:ascii="仿宋" w:hAnsi="仿宋" w:eastAsia="仿宋" w:cs="仿宋"/>
          <w:sz w:val="24"/>
        </w:rPr>
        <w:t>11、江苏省住房和城乡建设厅发布的《关于不再计列建设工程新冠疫情防控措施费用的通知》（苏建函质安〔2023〕145号）。</w:t>
      </w:r>
    </w:p>
    <w:p w14:paraId="744AF4B9">
      <w:pPr>
        <w:spacing w:line="360" w:lineRule="auto"/>
        <w:ind w:firstLine="480" w:firstLineChars="200"/>
        <w:rPr>
          <w:rFonts w:ascii="仿宋" w:hAnsi="仿宋" w:eastAsia="仿宋" w:cs="仿宋"/>
          <w:sz w:val="24"/>
        </w:rPr>
      </w:pPr>
      <w:r>
        <w:rPr>
          <w:rFonts w:hint="eastAsia" w:ascii="仿宋" w:hAnsi="仿宋" w:eastAsia="仿宋" w:cs="仿宋"/>
          <w:sz w:val="24"/>
        </w:rPr>
        <w:t>12、与建设项目相关的标准、规范、技术资料、相关标准图集、以及省、市造价管理部门发布的与工程造价相关的现行文件。</w:t>
      </w:r>
    </w:p>
    <w:p w14:paraId="444CF59A">
      <w:pPr>
        <w:spacing w:line="360" w:lineRule="auto"/>
        <w:ind w:firstLine="480" w:firstLineChars="200"/>
        <w:rPr>
          <w:rFonts w:ascii="仿宋" w:hAnsi="仿宋" w:eastAsia="仿宋" w:cs="仿宋"/>
          <w:sz w:val="24"/>
        </w:rPr>
      </w:pPr>
      <w:r>
        <w:rPr>
          <w:rFonts w:hint="eastAsia" w:ascii="仿宋" w:hAnsi="仿宋" w:eastAsia="仿宋" w:cs="仿宋"/>
          <w:sz w:val="24"/>
        </w:rPr>
        <w:t>13、《省住房和城乡建设厅关于发布2024年下半年建设工程人工工资指导价的通知》（苏建价〔2024〕348号）；</w:t>
      </w:r>
    </w:p>
    <w:p w14:paraId="7DC0031B">
      <w:pPr>
        <w:spacing w:line="360" w:lineRule="auto"/>
        <w:ind w:firstLine="482" w:firstLineChars="200"/>
        <w:rPr>
          <w:rFonts w:ascii="仿宋" w:hAnsi="仿宋" w:eastAsia="仿宋" w:cs="仿宋"/>
          <w:b/>
          <w:bCs/>
          <w:sz w:val="24"/>
        </w:rPr>
      </w:pPr>
      <w:r>
        <w:rPr>
          <w:rFonts w:hint="eastAsia" w:ascii="仿宋" w:hAnsi="仿宋" w:eastAsia="仿宋" w:cs="仿宋"/>
          <w:b/>
          <w:bCs/>
          <w:sz w:val="24"/>
        </w:rPr>
        <w:t>14、南京市2024年11月《南京工程造价管理》；</w:t>
      </w:r>
    </w:p>
    <w:p w14:paraId="560B57C7">
      <w:pPr>
        <w:spacing w:line="360" w:lineRule="auto"/>
        <w:ind w:firstLine="480" w:firstLineChars="200"/>
        <w:rPr>
          <w:rFonts w:ascii="仿宋" w:hAnsi="仿宋" w:eastAsia="仿宋" w:cs="仿宋"/>
          <w:sz w:val="24"/>
        </w:rPr>
      </w:pPr>
      <w:r>
        <w:rPr>
          <w:rFonts w:hint="eastAsia" w:ascii="仿宋" w:hAnsi="仿宋" w:eastAsia="仿宋" w:cs="仿宋"/>
          <w:sz w:val="24"/>
        </w:rPr>
        <w:t>15、省市造价管理部门发布有关工程造价的相关文件。</w:t>
      </w:r>
    </w:p>
    <w:p w14:paraId="12B72CB9">
      <w:pPr>
        <w:spacing w:line="360" w:lineRule="auto"/>
        <w:ind w:firstLine="480" w:firstLineChars="200"/>
        <w:rPr>
          <w:rFonts w:ascii="仿宋" w:hAnsi="仿宋" w:eastAsia="仿宋" w:cs="仿宋"/>
          <w:sz w:val="24"/>
        </w:rPr>
      </w:pPr>
      <w:r>
        <w:rPr>
          <w:rFonts w:hint="eastAsia" w:ascii="仿宋" w:hAnsi="仿宋" w:eastAsia="仿宋" w:cs="仿宋"/>
          <w:sz w:val="24"/>
        </w:rPr>
        <w:t>16、施工现场情况、工程特点及常规施工方案。</w:t>
      </w:r>
    </w:p>
    <w:p w14:paraId="3971CC47">
      <w:pPr>
        <w:spacing w:line="360" w:lineRule="auto"/>
        <w:outlineLvl w:val="0"/>
        <w:rPr>
          <w:rFonts w:ascii="楷体" w:hAnsi="楷体" w:eastAsia="楷体" w:cs="楷体"/>
          <w:b/>
          <w:bCs/>
          <w:sz w:val="24"/>
        </w:rPr>
      </w:pPr>
      <w:r>
        <w:rPr>
          <w:rFonts w:hint="eastAsia" w:ascii="楷体" w:hAnsi="楷体" w:eastAsia="楷体" w:cs="楷体"/>
          <w:b/>
          <w:bCs/>
          <w:sz w:val="24"/>
        </w:rPr>
        <w:t>五、其他需说明的问题</w:t>
      </w:r>
    </w:p>
    <w:p w14:paraId="38E859DB">
      <w:pPr>
        <w:spacing w:line="360" w:lineRule="auto"/>
        <w:ind w:firstLine="480" w:firstLineChars="200"/>
        <w:rPr>
          <w:rFonts w:ascii="仿宋" w:hAnsi="仿宋" w:eastAsia="仿宋" w:cs="仿宋"/>
          <w:sz w:val="24"/>
        </w:rPr>
      </w:pPr>
      <w:r>
        <w:rPr>
          <w:rFonts w:hint="eastAsia" w:ascii="仿宋" w:hAnsi="仿宋" w:eastAsia="仿宋" w:cs="仿宋"/>
          <w:sz w:val="24"/>
        </w:rPr>
        <w:t>1、本工程各项规费及税金执行《省住房城乡建设厅关于</w:t>
      </w:r>
      <w:bookmarkStart w:id="0" w:name="OLE_LINK1"/>
      <w:r>
        <w:rPr>
          <w:rFonts w:hint="eastAsia" w:ascii="仿宋" w:hAnsi="仿宋" w:eastAsia="仿宋" w:cs="仿宋"/>
          <w:sz w:val="24"/>
        </w:rPr>
        <w:t>调整建设工程计价增值税税率的通知</w:t>
      </w:r>
      <w:bookmarkEnd w:id="0"/>
      <w:r>
        <w:rPr>
          <w:rFonts w:hint="eastAsia" w:ascii="仿宋" w:hAnsi="仿宋" w:eastAsia="仿宋" w:cs="仿宋"/>
          <w:sz w:val="24"/>
        </w:rPr>
        <w:t>》（苏建函价〔2019〕178号文）等相关文件进行计算，工程类别按按三类安装工程，根据项目特点，未计取建筑工人实名制费用、智慧工地费用和环境保护税</w:t>
      </w:r>
    </w:p>
    <w:p w14:paraId="4B46E4C1">
      <w:pPr>
        <w:spacing w:line="360" w:lineRule="auto"/>
        <w:ind w:firstLine="480" w:firstLineChars="200"/>
        <w:rPr>
          <w:rFonts w:ascii="仿宋" w:hAnsi="仿宋" w:eastAsia="仿宋" w:cs="仿宋"/>
          <w:sz w:val="24"/>
        </w:rPr>
      </w:pPr>
      <w:r>
        <w:rPr>
          <w:rFonts w:hint="eastAsia" w:ascii="仿宋" w:hAnsi="仿宋" w:eastAsia="仿宋" w:cs="仿宋"/>
          <w:sz w:val="24"/>
        </w:rPr>
        <w:t>2、材料价格按2024年11月《南京工程造价管理》公布的信息指导价计算，缺项材料市场调查；人工单价执行苏建函价〔2024〕348号文规定。</w:t>
      </w:r>
    </w:p>
    <w:p w14:paraId="48D1649E">
      <w:pPr>
        <w:spacing w:line="360" w:lineRule="auto"/>
        <w:ind w:firstLine="480" w:firstLineChars="200"/>
        <w:rPr>
          <w:rFonts w:ascii="仿宋" w:hAnsi="仿宋" w:eastAsia="仿宋" w:cs="仿宋"/>
          <w:sz w:val="24"/>
        </w:rPr>
      </w:pPr>
      <w:r>
        <w:rPr>
          <w:rFonts w:hint="eastAsia" w:ascii="仿宋" w:hAnsi="仿宋" w:eastAsia="仿宋" w:cs="仿宋"/>
          <w:sz w:val="24"/>
        </w:rPr>
        <w:t>3、应急照明和按项整改部分按3%的税率计算；泵房配电柜更换按9%的增值税率计算。</w:t>
      </w:r>
    </w:p>
    <w:p w14:paraId="1A77D732">
      <w:pPr>
        <w:spacing w:line="360" w:lineRule="auto"/>
        <w:ind w:firstLine="480" w:firstLineChars="200"/>
        <w:rPr>
          <w:rFonts w:ascii="仿宋" w:hAnsi="仿宋" w:eastAsia="仿宋" w:cs="仿宋"/>
          <w:sz w:val="24"/>
        </w:rPr>
      </w:pPr>
      <w:r>
        <w:rPr>
          <w:rFonts w:hint="eastAsia" w:ascii="仿宋" w:hAnsi="仿宋" w:eastAsia="仿宋" w:cs="仿宋"/>
          <w:sz w:val="24"/>
        </w:rPr>
        <w:t>4、材料品牌按下表。</w:t>
      </w:r>
    </w:p>
    <w:p w14:paraId="07A261CD">
      <w:pPr>
        <w:spacing w:line="360" w:lineRule="auto"/>
        <w:ind w:firstLine="480" w:firstLineChars="200"/>
        <w:rPr>
          <w:rFonts w:ascii="仿宋" w:hAnsi="仿宋" w:eastAsia="仿宋" w:cs="仿宋"/>
          <w:sz w:val="24"/>
        </w:rPr>
      </w:pPr>
      <w:r>
        <w:rPr>
          <w:rFonts w:hint="eastAsia" w:ascii="仿宋" w:hAnsi="仿宋" w:eastAsia="仿宋" w:cs="仿宋"/>
          <w:sz w:val="24"/>
        </w:rPr>
        <w:t>5、本工程招标控制价237,739.69元。</w:t>
      </w:r>
    </w:p>
    <w:p w14:paraId="422B0C8C">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品牌表 </w:t>
      </w:r>
    </w:p>
    <w:tbl>
      <w:tblPr>
        <w:tblStyle w:val="5"/>
        <w:tblW w:w="8871" w:type="dxa"/>
        <w:tblInd w:w="-25" w:type="dxa"/>
        <w:tblLayout w:type="autofit"/>
        <w:tblCellMar>
          <w:top w:w="0" w:type="dxa"/>
          <w:left w:w="108" w:type="dxa"/>
          <w:bottom w:w="0" w:type="dxa"/>
          <w:right w:w="108" w:type="dxa"/>
        </w:tblCellMar>
      </w:tblPr>
      <w:tblGrid>
        <w:gridCol w:w="915"/>
        <w:gridCol w:w="2609"/>
        <w:gridCol w:w="5347"/>
      </w:tblGrid>
      <w:tr w14:paraId="6C45A795">
        <w:tblPrEx>
          <w:tblCellMar>
            <w:top w:w="0" w:type="dxa"/>
            <w:left w:w="108" w:type="dxa"/>
            <w:bottom w:w="0" w:type="dxa"/>
            <w:right w:w="108" w:type="dxa"/>
          </w:tblCellMar>
        </w:tblPrEx>
        <w:trPr>
          <w:trHeight w:val="640" w:hRule="atLeast"/>
        </w:trPr>
        <w:tc>
          <w:tcPr>
            <w:tcW w:w="915" w:type="dxa"/>
            <w:tcBorders>
              <w:top w:val="single" w:color="000000" w:sz="8" w:space="0"/>
              <w:left w:val="single" w:color="000000" w:sz="8" w:space="0"/>
              <w:bottom w:val="single" w:color="000000" w:sz="8" w:space="0"/>
              <w:right w:val="single" w:color="000000" w:sz="8" w:space="0"/>
            </w:tcBorders>
            <w:vAlign w:val="center"/>
          </w:tcPr>
          <w:p w14:paraId="5271965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2609" w:type="dxa"/>
            <w:tcBorders>
              <w:top w:val="single" w:color="000000" w:sz="8" w:space="0"/>
              <w:left w:val="nil"/>
              <w:bottom w:val="single" w:color="000000" w:sz="8" w:space="0"/>
              <w:right w:val="single" w:color="000000" w:sz="8" w:space="0"/>
            </w:tcBorders>
            <w:vAlign w:val="center"/>
          </w:tcPr>
          <w:p w14:paraId="760F4A3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材料名称、规格</w:t>
            </w:r>
          </w:p>
        </w:tc>
        <w:tc>
          <w:tcPr>
            <w:tcW w:w="5347" w:type="dxa"/>
            <w:tcBorders>
              <w:top w:val="single" w:color="000000" w:sz="8" w:space="0"/>
              <w:left w:val="nil"/>
              <w:bottom w:val="single" w:color="000000" w:sz="8" w:space="0"/>
              <w:right w:val="single" w:color="000000" w:sz="8" w:space="0"/>
            </w:tcBorders>
            <w:vAlign w:val="center"/>
          </w:tcPr>
          <w:p w14:paraId="6083E25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推荐品牌</w:t>
            </w:r>
          </w:p>
        </w:tc>
      </w:tr>
      <w:tr w14:paraId="1C8C7E51">
        <w:tblPrEx>
          <w:tblCellMar>
            <w:top w:w="0" w:type="dxa"/>
            <w:left w:w="108" w:type="dxa"/>
            <w:bottom w:w="0" w:type="dxa"/>
            <w:right w:w="108" w:type="dxa"/>
          </w:tblCellMar>
        </w:tblPrEx>
        <w:trPr>
          <w:trHeight w:val="420" w:hRule="atLeast"/>
        </w:trPr>
        <w:tc>
          <w:tcPr>
            <w:tcW w:w="915" w:type="dxa"/>
            <w:tcBorders>
              <w:top w:val="nil"/>
              <w:left w:val="single" w:color="000000" w:sz="8" w:space="0"/>
              <w:bottom w:val="single" w:color="000000" w:sz="8" w:space="0"/>
              <w:right w:val="single" w:color="000000" w:sz="8" w:space="0"/>
            </w:tcBorders>
            <w:vAlign w:val="center"/>
          </w:tcPr>
          <w:p w14:paraId="37CAD7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609" w:type="dxa"/>
            <w:tcBorders>
              <w:top w:val="nil"/>
              <w:left w:val="nil"/>
              <w:bottom w:val="single" w:color="000000" w:sz="8" w:space="0"/>
              <w:right w:val="single" w:color="000000" w:sz="8" w:space="0"/>
            </w:tcBorders>
            <w:vAlign w:val="center"/>
          </w:tcPr>
          <w:p w14:paraId="7DF511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电线电缆</w:t>
            </w:r>
          </w:p>
        </w:tc>
        <w:tc>
          <w:tcPr>
            <w:tcW w:w="5347" w:type="dxa"/>
            <w:tcBorders>
              <w:top w:val="nil"/>
              <w:left w:val="nil"/>
              <w:bottom w:val="single" w:color="000000" w:sz="8" w:space="0"/>
              <w:right w:val="single" w:color="000000" w:sz="8" w:space="0"/>
            </w:tcBorders>
            <w:vAlign w:val="center"/>
          </w:tcPr>
          <w:p w14:paraId="7A8553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远东、宝胜、江南、上上</w:t>
            </w:r>
          </w:p>
        </w:tc>
      </w:tr>
      <w:tr w14:paraId="11B6609B">
        <w:tblPrEx>
          <w:tblCellMar>
            <w:top w:w="0" w:type="dxa"/>
            <w:left w:w="108" w:type="dxa"/>
            <w:bottom w:w="0" w:type="dxa"/>
            <w:right w:w="108" w:type="dxa"/>
          </w:tblCellMar>
        </w:tblPrEx>
        <w:trPr>
          <w:trHeight w:val="440" w:hRule="atLeast"/>
        </w:trPr>
        <w:tc>
          <w:tcPr>
            <w:tcW w:w="915" w:type="dxa"/>
            <w:tcBorders>
              <w:top w:val="nil"/>
              <w:left w:val="single" w:color="000000" w:sz="8" w:space="0"/>
              <w:bottom w:val="single" w:color="000000" w:sz="8" w:space="0"/>
              <w:right w:val="single" w:color="000000" w:sz="8" w:space="0"/>
            </w:tcBorders>
            <w:vAlign w:val="center"/>
          </w:tcPr>
          <w:p w14:paraId="31D528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609" w:type="dxa"/>
            <w:tcBorders>
              <w:top w:val="nil"/>
              <w:left w:val="nil"/>
              <w:bottom w:val="single" w:color="000000" w:sz="8" w:space="0"/>
              <w:right w:val="single" w:color="000000" w:sz="8" w:space="0"/>
            </w:tcBorders>
            <w:vAlign w:val="center"/>
          </w:tcPr>
          <w:p w14:paraId="3522E7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应急照明系统</w:t>
            </w:r>
          </w:p>
        </w:tc>
        <w:tc>
          <w:tcPr>
            <w:tcW w:w="5347" w:type="dxa"/>
            <w:tcBorders>
              <w:top w:val="nil"/>
              <w:left w:val="nil"/>
              <w:bottom w:val="single" w:color="000000" w:sz="8" w:space="0"/>
              <w:right w:val="single" w:color="000000" w:sz="8" w:space="0"/>
            </w:tcBorders>
            <w:vAlign w:val="center"/>
          </w:tcPr>
          <w:p w14:paraId="07093B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消防部门认可产品</w:t>
            </w:r>
          </w:p>
        </w:tc>
      </w:tr>
      <w:tr w14:paraId="131B6C01">
        <w:tblPrEx>
          <w:tblCellMar>
            <w:top w:w="0" w:type="dxa"/>
            <w:left w:w="108" w:type="dxa"/>
            <w:bottom w:w="0" w:type="dxa"/>
            <w:right w:w="108" w:type="dxa"/>
          </w:tblCellMar>
        </w:tblPrEx>
        <w:trPr>
          <w:trHeight w:val="500" w:hRule="atLeast"/>
        </w:trPr>
        <w:tc>
          <w:tcPr>
            <w:tcW w:w="915" w:type="dxa"/>
            <w:tcBorders>
              <w:top w:val="nil"/>
              <w:left w:val="single" w:color="000000" w:sz="8" w:space="0"/>
              <w:bottom w:val="single" w:color="000000" w:sz="8" w:space="0"/>
              <w:right w:val="single" w:color="000000" w:sz="8" w:space="0"/>
            </w:tcBorders>
            <w:vAlign w:val="center"/>
          </w:tcPr>
          <w:p w14:paraId="4CC78C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609" w:type="dxa"/>
            <w:tcBorders>
              <w:top w:val="nil"/>
              <w:left w:val="nil"/>
              <w:bottom w:val="single" w:color="000000" w:sz="8" w:space="0"/>
              <w:right w:val="single" w:color="000000" w:sz="8" w:space="0"/>
            </w:tcBorders>
            <w:vAlign w:val="center"/>
          </w:tcPr>
          <w:p w14:paraId="240B93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消防泵控制柜</w:t>
            </w:r>
          </w:p>
        </w:tc>
        <w:tc>
          <w:tcPr>
            <w:tcW w:w="5347" w:type="dxa"/>
            <w:tcBorders>
              <w:top w:val="nil"/>
              <w:left w:val="nil"/>
              <w:bottom w:val="single" w:color="000000" w:sz="8" w:space="0"/>
              <w:right w:val="single" w:color="000000" w:sz="8" w:space="0"/>
            </w:tcBorders>
            <w:vAlign w:val="center"/>
          </w:tcPr>
          <w:p w14:paraId="1B8E75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主要元器件正泰品牌</w:t>
            </w:r>
          </w:p>
        </w:tc>
      </w:tr>
      <w:tr w14:paraId="7AF6C664">
        <w:tblPrEx>
          <w:tblCellMar>
            <w:top w:w="0" w:type="dxa"/>
            <w:left w:w="108" w:type="dxa"/>
            <w:bottom w:w="0" w:type="dxa"/>
            <w:right w:w="108" w:type="dxa"/>
          </w:tblCellMar>
        </w:tblPrEx>
        <w:trPr>
          <w:trHeight w:val="500" w:hRule="atLeast"/>
        </w:trPr>
        <w:tc>
          <w:tcPr>
            <w:tcW w:w="915" w:type="dxa"/>
            <w:tcBorders>
              <w:top w:val="nil"/>
              <w:left w:val="single" w:color="000000" w:sz="8" w:space="0"/>
              <w:bottom w:val="single" w:color="000000" w:sz="8" w:space="0"/>
              <w:right w:val="single" w:color="000000" w:sz="8" w:space="0"/>
            </w:tcBorders>
            <w:vAlign w:val="center"/>
          </w:tcPr>
          <w:p w14:paraId="3BEF5A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609" w:type="dxa"/>
            <w:tcBorders>
              <w:top w:val="nil"/>
              <w:left w:val="nil"/>
              <w:bottom w:val="single" w:color="000000" w:sz="8" w:space="0"/>
              <w:right w:val="single" w:color="000000" w:sz="8" w:space="0"/>
            </w:tcBorders>
            <w:vAlign w:val="center"/>
          </w:tcPr>
          <w:p w14:paraId="65F1C8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消防电源柜</w:t>
            </w:r>
          </w:p>
        </w:tc>
        <w:tc>
          <w:tcPr>
            <w:tcW w:w="5347" w:type="dxa"/>
            <w:tcBorders>
              <w:top w:val="nil"/>
              <w:left w:val="nil"/>
              <w:bottom w:val="single" w:color="000000" w:sz="8" w:space="0"/>
              <w:right w:val="single" w:color="000000" w:sz="8" w:space="0"/>
            </w:tcBorders>
            <w:vAlign w:val="center"/>
          </w:tcPr>
          <w:p w14:paraId="3DC86E9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主要元器件施耐德品牌</w:t>
            </w:r>
          </w:p>
        </w:tc>
      </w:tr>
      <w:tr w14:paraId="342E4A44">
        <w:tblPrEx>
          <w:tblCellMar>
            <w:top w:w="0" w:type="dxa"/>
            <w:left w:w="108" w:type="dxa"/>
            <w:bottom w:w="0" w:type="dxa"/>
            <w:right w:w="108" w:type="dxa"/>
          </w:tblCellMar>
        </w:tblPrEx>
        <w:trPr>
          <w:trHeight w:val="500" w:hRule="atLeast"/>
        </w:trPr>
        <w:tc>
          <w:tcPr>
            <w:tcW w:w="915" w:type="dxa"/>
            <w:tcBorders>
              <w:top w:val="nil"/>
              <w:left w:val="single" w:color="000000" w:sz="8" w:space="0"/>
              <w:bottom w:val="single" w:color="000000" w:sz="8" w:space="0"/>
              <w:right w:val="single" w:color="000000" w:sz="8" w:space="0"/>
            </w:tcBorders>
            <w:vAlign w:val="center"/>
          </w:tcPr>
          <w:p w14:paraId="661C40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2609" w:type="dxa"/>
            <w:tcBorders>
              <w:top w:val="nil"/>
              <w:left w:val="nil"/>
              <w:bottom w:val="single" w:color="000000" w:sz="8" w:space="0"/>
              <w:right w:val="single" w:color="000000" w:sz="8" w:space="0"/>
            </w:tcBorders>
            <w:vAlign w:val="center"/>
          </w:tcPr>
          <w:p w14:paraId="28B525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其它有关材料 </w:t>
            </w:r>
          </w:p>
        </w:tc>
        <w:tc>
          <w:tcPr>
            <w:tcW w:w="5347" w:type="dxa"/>
            <w:tcBorders>
              <w:top w:val="nil"/>
              <w:left w:val="nil"/>
              <w:bottom w:val="single" w:color="000000" w:sz="8" w:space="0"/>
              <w:right w:val="single" w:color="000000" w:sz="8" w:space="0"/>
            </w:tcBorders>
            <w:vAlign w:val="center"/>
          </w:tcPr>
          <w:p w14:paraId="66B717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国产优质且消防部门认可产口</w:t>
            </w:r>
          </w:p>
        </w:tc>
      </w:tr>
    </w:tbl>
    <w:p w14:paraId="1D8E5770">
      <w:pPr>
        <w:spacing w:line="360" w:lineRule="auto"/>
        <w:ind w:firstLine="480" w:firstLineChars="200"/>
        <w:rPr>
          <w:rFonts w:ascii="仿宋" w:hAnsi="仿宋" w:eastAsia="仿宋" w:cs="仿宋"/>
          <w:sz w:val="24"/>
        </w:rPr>
      </w:pPr>
    </w:p>
    <w:sectPr>
      <w:footerReference r:id="rId3" w:type="default"/>
      <w:pgSz w:w="11906" w:h="16838"/>
      <w:pgMar w:top="1134" w:right="1417"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C11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CA642">
                          <w:pPr>
                            <w:pStyle w:val="3"/>
                            <w:rPr>
                              <w:rFonts w:ascii="楷体" w:hAnsi="楷体" w:eastAsia="楷体" w:cs="楷体"/>
                              <w:b/>
                              <w:bCs/>
                            </w:rPr>
                          </w:pPr>
                          <w:r>
                            <w:rPr>
                              <w:rFonts w:hint="eastAsia" w:ascii="楷体" w:hAnsi="楷体" w:eastAsia="楷体" w:cs="楷体"/>
                              <w:b/>
                              <w:bCs/>
                            </w:rPr>
                            <w:t xml:space="preserve">第 </w:t>
                          </w:r>
                          <w:r>
                            <w:rPr>
                              <w:rFonts w:hint="eastAsia" w:ascii="楷体" w:hAnsi="楷体" w:eastAsia="楷体" w:cs="楷体"/>
                              <w:b/>
                              <w:bCs/>
                            </w:rPr>
                            <w:fldChar w:fldCharType="begin"/>
                          </w:r>
                          <w:r>
                            <w:rPr>
                              <w:rFonts w:hint="eastAsia" w:ascii="楷体" w:hAnsi="楷体" w:eastAsia="楷体" w:cs="楷体"/>
                              <w:b/>
                              <w:bCs/>
                            </w:rPr>
                            <w:instrText xml:space="preserve"> PAGE  \* MERGEFORMAT </w:instrText>
                          </w:r>
                          <w:r>
                            <w:rPr>
                              <w:rFonts w:hint="eastAsia" w:ascii="楷体" w:hAnsi="楷体" w:eastAsia="楷体" w:cs="楷体"/>
                              <w:b/>
                              <w:bCs/>
                            </w:rPr>
                            <w:fldChar w:fldCharType="separate"/>
                          </w:r>
                          <w:r>
                            <w:rPr>
                              <w:rFonts w:ascii="楷体" w:hAnsi="楷体" w:eastAsia="楷体" w:cs="楷体"/>
                              <w:b/>
                              <w:bCs/>
                            </w:rPr>
                            <w:t>1</w:t>
                          </w:r>
                          <w:r>
                            <w:rPr>
                              <w:rFonts w:hint="eastAsia" w:ascii="楷体" w:hAnsi="楷体" w:eastAsia="楷体" w:cs="楷体"/>
                              <w:b/>
                              <w:bCs/>
                            </w:rPr>
                            <w:fldChar w:fldCharType="end"/>
                          </w:r>
                          <w:r>
                            <w:rPr>
                              <w:rFonts w:hint="eastAsia" w:ascii="楷体" w:hAnsi="楷体" w:eastAsia="楷体" w:cs="楷体"/>
                              <w:b/>
                              <w:bCs/>
                            </w:rPr>
                            <w:t xml:space="preserve"> 页 共 </w:t>
                          </w:r>
                          <w:r>
                            <w:rPr>
                              <w:rFonts w:hint="eastAsia" w:ascii="楷体" w:hAnsi="楷体" w:eastAsia="楷体" w:cs="楷体"/>
                              <w:b/>
                              <w:bCs/>
                            </w:rPr>
                            <w:fldChar w:fldCharType="begin"/>
                          </w:r>
                          <w:r>
                            <w:rPr>
                              <w:rFonts w:hint="eastAsia" w:ascii="楷体" w:hAnsi="楷体" w:eastAsia="楷体" w:cs="楷体"/>
                              <w:b/>
                              <w:bCs/>
                            </w:rPr>
                            <w:instrText xml:space="preserve"> NUMPAGES  \* MERGEFORMAT </w:instrText>
                          </w:r>
                          <w:r>
                            <w:rPr>
                              <w:rFonts w:hint="eastAsia" w:ascii="楷体" w:hAnsi="楷体" w:eastAsia="楷体" w:cs="楷体"/>
                              <w:b/>
                              <w:bCs/>
                            </w:rPr>
                            <w:fldChar w:fldCharType="separate"/>
                          </w:r>
                          <w:r>
                            <w:rPr>
                              <w:rFonts w:ascii="楷体" w:hAnsi="楷体" w:eastAsia="楷体" w:cs="楷体"/>
                              <w:b/>
                              <w:bCs/>
                            </w:rPr>
                            <w:t>2</w:t>
                          </w:r>
                          <w:r>
                            <w:rPr>
                              <w:rFonts w:hint="eastAsia" w:ascii="楷体" w:hAnsi="楷体" w:eastAsia="楷体" w:cs="楷体"/>
                              <w:b/>
                              <w:bCs/>
                            </w:rPr>
                            <w:fldChar w:fldCharType="end"/>
                          </w:r>
                          <w:r>
                            <w:rPr>
                              <w:rFonts w:hint="eastAsia" w:ascii="楷体" w:hAnsi="楷体" w:eastAsia="楷体" w:cs="楷体"/>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0CA642">
                    <w:pPr>
                      <w:pStyle w:val="3"/>
                      <w:rPr>
                        <w:rFonts w:ascii="楷体" w:hAnsi="楷体" w:eastAsia="楷体" w:cs="楷体"/>
                        <w:b/>
                        <w:bCs/>
                      </w:rPr>
                    </w:pPr>
                    <w:r>
                      <w:rPr>
                        <w:rFonts w:hint="eastAsia" w:ascii="楷体" w:hAnsi="楷体" w:eastAsia="楷体" w:cs="楷体"/>
                        <w:b/>
                        <w:bCs/>
                      </w:rPr>
                      <w:t xml:space="preserve">第 </w:t>
                    </w:r>
                    <w:r>
                      <w:rPr>
                        <w:rFonts w:hint="eastAsia" w:ascii="楷体" w:hAnsi="楷体" w:eastAsia="楷体" w:cs="楷体"/>
                        <w:b/>
                        <w:bCs/>
                      </w:rPr>
                      <w:fldChar w:fldCharType="begin"/>
                    </w:r>
                    <w:r>
                      <w:rPr>
                        <w:rFonts w:hint="eastAsia" w:ascii="楷体" w:hAnsi="楷体" w:eastAsia="楷体" w:cs="楷体"/>
                        <w:b/>
                        <w:bCs/>
                      </w:rPr>
                      <w:instrText xml:space="preserve"> PAGE  \* MERGEFORMAT </w:instrText>
                    </w:r>
                    <w:r>
                      <w:rPr>
                        <w:rFonts w:hint="eastAsia" w:ascii="楷体" w:hAnsi="楷体" w:eastAsia="楷体" w:cs="楷体"/>
                        <w:b/>
                        <w:bCs/>
                      </w:rPr>
                      <w:fldChar w:fldCharType="separate"/>
                    </w:r>
                    <w:r>
                      <w:rPr>
                        <w:rFonts w:ascii="楷体" w:hAnsi="楷体" w:eastAsia="楷体" w:cs="楷体"/>
                        <w:b/>
                        <w:bCs/>
                      </w:rPr>
                      <w:t>1</w:t>
                    </w:r>
                    <w:r>
                      <w:rPr>
                        <w:rFonts w:hint="eastAsia" w:ascii="楷体" w:hAnsi="楷体" w:eastAsia="楷体" w:cs="楷体"/>
                        <w:b/>
                        <w:bCs/>
                      </w:rPr>
                      <w:fldChar w:fldCharType="end"/>
                    </w:r>
                    <w:r>
                      <w:rPr>
                        <w:rFonts w:hint="eastAsia" w:ascii="楷体" w:hAnsi="楷体" w:eastAsia="楷体" w:cs="楷体"/>
                        <w:b/>
                        <w:bCs/>
                      </w:rPr>
                      <w:t xml:space="preserve"> 页 共 </w:t>
                    </w:r>
                    <w:r>
                      <w:rPr>
                        <w:rFonts w:hint="eastAsia" w:ascii="楷体" w:hAnsi="楷体" w:eastAsia="楷体" w:cs="楷体"/>
                        <w:b/>
                        <w:bCs/>
                      </w:rPr>
                      <w:fldChar w:fldCharType="begin"/>
                    </w:r>
                    <w:r>
                      <w:rPr>
                        <w:rFonts w:hint="eastAsia" w:ascii="楷体" w:hAnsi="楷体" w:eastAsia="楷体" w:cs="楷体"/>
                        <w:b/>
                        <w:bCs/>
                      </w:rPr>
                      <w:instrText xml:space="preserve"> NUMPAGES  \* MERGEFORMAT </w:instrText>
                    </w:r>
                    <w:r>
                      <w:rPr>
                        <w:rFonts w:hint="eastAsia" w:ascii="楷体" w:hAnsi="楷体" w:eastAsia="楷体" w:cs="楷体"/>
                        <w:b/>
                        <w:bCs/>
                      </w:rPr>
                      <w:fldChar w:fldCharType="separate"/>
                    </w:r>
                    <w:r>
                      <w:rPr>
                        <w:rFonts w:ascii="楷体" w:hAnsi="楷体" w:eastAsia="楷体" w:cs="楷体"/>
                        <w:b/>
                        <w:bCs/>
                      </w:rPr>
                      <w:t>2</w:t>
                    </w:r>
                    <w:r>
                      <w:rPr>
                        <w:rFonts w:hint="eastAsia" w:ascii="楷体" w:hAnsi="楷体" w:eastAsia="楷体" w:cs="楷体"/>
                        <w:b/>
                        <w:bCs/>
                      </w:rPr>
                      <w:fldChar w:fldCharType="end"/>
                    </w:r>
                    <w:r>
                      <w:rPr>
                        <w:rFonts w:hint="eastAsia" w:ascii="楷体" w:hAnsi="楷体" w:eastAsia="楷体" w:cs="楷体"/>
                        <w:b/>
                        <w:bCs/>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ODY3YWUxYWJjYjZiM2E1MjQ5Y2ZkYmNhYmYxZWYifQ=="/>
  </w:docVars>
  <w:rsids>
    <w:rsidRoot w:val="002C1A75"/>
    <w:rsid w:val="002C1A75"/>
    <w:rsid w:val="008F6F2D"/>
    <w:rsid w:val="00C9586D"/>
    <w:rsid w:val="00E335CA"/>
    <w:rsid w:val="02564966"/>
    <w:rsid w:val="0735129C"/>
    <w:rsid w:val="0ABC0F96"/>
    <w:rsid w:val="0D0D5975"/>
    <w:rsid w:val="11C31D62"/>
    <w:rsid w:val="149E6D2E"/>
    <w:rsid w:val="22405E06"/>
    <w:rsid w:val="2AFB1DA3"/>
    <w:rsid w:val="2DF27157"/>
    <w:rsid w:val="2E5757F3"/>
    <w:rsid w:val="30257E51"/>
    <w:rsid w:val="34B36259"/>
    <w:rsid w:val="36F1721E"/>
    <w:rsid w:val="37F16276"/>
    <w:rsid w:val="3CCE71EB"/>
    <w:rsid w:val="3CDC01E8"/>
    <w:rsid w:val="413E70B8"/>
    <w:rsid w:val="42C1020B"/>
    <w:rsid w:val="44261D20"/>
    <w:rsid w:val="44EE7B43"/>
    <w:rsid w:val="460111D6"/>
    <w:rsid w:val="49066F7B"/>
    <w:rsid w:val="49E519A7"/>
    <w:rsid w:val="538B212D"/>
    <w:rsid w:val="55EA5748"/>
    <w:rsid w:val="5C526786"/>
    <w:rsid w:val="61C60977"/>
    <w:rsid w:val="62943029"/>
    <w:rsid w:val="64254D09"/>
    <w:rsid w:val="64DE53AA"/>
    <w:rsid w:val="67B4679E"/>
    <w:rsid w:val="6B3461BC"/>
    <w:rsid w:val="6E62667D"/>
    <w:rsid w:val="72BB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ormal]"/>
    <w:autoRedefine/>
    <w:qFormat/>
    <w:uiPriority w:val="0"/>
    <w:rPr>
      <w:rFonts w:ascii="方正仿宋简体" w:hAnsi="方正仿宋简体" w:eastAsia="方正仿宋简体" w:cs="Courier New"/>
      <w:sz w:val="24"/>
      <w:szCs w:val="22"/>
      <w:lang w:val="zh-CN" w:eastAsia="zh-CN" w:bidi="ar-SA"/>
    </w:rPr>
  </w:style>
  <w:style w:type="character" w:customStyle="1" w:styleId="8">
    <w:name w:val="font51"/>
    <w:basedOn w:val="6"/>
    <w:autoRedefine/>
    <w:qFormat/>
    <w:uiPriority w:val="0"/>
    <w:rPr>
      <w:rFonts w:hint="eastAsia" w:ascii="宋体" w:hAnsi="宋体" w:eastAsia="宋体" w:cs="宋体"/>
      <w:color w:val="000000"/>
      <w:sz w:val="21"/>
      <w:szCs w:val="21"/>
      <w:u w:val="none"/>
    </w:rPr>
  </w:style>
  <w:style w:type="character" w:customStyle="1" w:styleId="9">
    <w:name w:val="font11"/>
    <w:basedOn w:val="6"/>
    <w:autoRedefine/>
    <w:qFormat/>
    <w:uiPriority w:val="0"/>
    <w:rPr>
      <w:rFonts w:ascii="微软雅黑" w:hAnsi="微软雅黑" w:eastAsia="微软雅黑" w:cs="微软雅黑"/>
      <w:color w:val="000000"/>
      <w:sz w:val="21"/>
      <w:szCs w:val="21"/>
      <w:u w:val="none"/>
    </w:rPr>
  </w:style>
  <w:style w:type="character" w:customStyle="1" w:styleId="10">
    <w:name w:val="font6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1133</Words>
  <Characters>1239</Characters>
  <Lines>9</Lines>
  <Paragraphs>2</Paragraphs>
  <TotalTime>0</TotalTime>
  <ScaleCrop>false</ScaleCrop>
  <LinksUpToDate>false</LinksUpToDate>
  <CharactersWithSpaces>1241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2024-12-31T02:46:00Z</dcterms:created>
  <dc:creator>Administrator</dc:creator>
  <cp:lastModifiedBy>努力努力再努力的吴小宝</cp:lastModifiedBy>
  <dcterms:modified xsi:type="dcterms:W3CDTF">2024-12-31T02:52:41Z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BD6A1AC7D81141C8ADC922D2D8DA3FF4_13</vt:lpwstr>
  </property>
</Properties>
</file>