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A510E">
      <w:pPr>
        <w:jc w:val="center"/>
        <w:rPr>
          <w:rFonts w:ascii="方正姚体" w:hAnsi="宋体" w:eastAsia="方正姚体"/>
          <w:b/>
          <w:sz w:val="40"/>
          <w:szCs w:val="40"/>
          <w:vertAlign w:val="subscript"/>
        </w:rPr>
      </w:pPr>
    </w:p>
    <w:p w14:paraId="5A343CEF">
      <w:pPr>
        <w:jc w:val="center"/>
        <w:rPr>
          <w:rFonts w:ascii="方正姚体" w:hAnsi="宋体" w:eastAsia="方正姚体"/>
          <w:b/>
          <w:sz w:val="40"/>
          <w:szCs w:val="40"/>
        </w:rPr>
      </w:pPr>
    </w:p>
    <w:p w14:paraId="2112752B">
      <w:pPr>
        <w:jc w:val="center"/>
        <w:rPr>
          <w:rFonts w:ascii="方正姚体" w:hAnsi="宋体" w:eastAsia="方正姚体"/>
          <w:b/>
          <w:sz w:val="40"/>
          <w:szCs w:val="40"/>
        </w:rPr>
      </w:pPr>
    </w:p>
    <w:p w14:paraId="5C25AC04">
      <w:pPr>
        <w:spacing w:line="300" w:lineRule="auto"/>
        <w:jc w:val="center"/>
        <w:rPr>
          <w:rFonts w:ascii="黑体" w:hAnsi="Calibri" w:eastAsia="黑体"/>
          <w:sz w:val="52"/>
          <w:szCs w:val="52"/>
        </w:rPr>
      </w:pPr>
      <w:bookmarkStart w:id="0" w:name="OLE_LINK4"/>
      <w:bookmarkStart w:id="1" w:name="OLE_LINK7"/>
      <w:bookmarkStart w:id="2" w:name="OLE_LINK76"/>
      <w:bookmarkStart w:id="146" w:name="_GoBack"/>
      <w:r>
        <w:rPr>
          <w:rFonts w:hint="eastAsia" w:ascii="宋体" w:hAnsi="宋体"/>
          <w:b/>
          <w:sz w:val="48"/>
          <w:szCs w:val="48"/>
        </w:rPr>
        <w:t>南京审计大学金审学院</w:t>
      </w:r>
      <w:bookmarkStart w:id="3" w:name="OLE_LINK45"/>
      <w:bookmarkStart w:id="4" w:name="OLE_LINK1"/>
      <w:r>
        <w:rPr>
          <w:rFonts w:hint="eastAsia" w:ascii="宋体" w:hAnsi="宋体"/>
          <w:b/>
          <w:sz w:val="48"/>
          <w:szCs w:val="48"/>
        </w:rPr>
        <w:t>智慧财务系统软件采购</w:t>
      </w:r>
      <w:bookmarkEnd w:id="3"/>
      <w:bookmarkEnd w:id="4"/>
      <w:r>
        <w:rPr>
          <w:rFonts w:hint="eastAsia" w:ascii="宋体" w:hAnsi="宋体"/>
          <w:b/>
          <w:sz w:val="48"/>
          <w:szCs w:val="48"/>
        </w:rPr>
        <w:t>项目</w:t>
      </w:r>
      <w:bookmarkEnd w:id="0"/>
      <w:bookmarkEnd w:id="1"/>
      <w:bookmarkEnd w:id="146"/>
    </w:p>
    <w:bookmarkEnd w:id="2"/>
    <w:p w14:paraId="2C44F48A">
      <w:pPr>
        <w:spacing w:line="300" w:lineRule="auto"/>
        <w:jc w:val="center"/>
        <w:rPr>
          <w:rFonts w:ascii="黑体" w:hAnsi="Calibri" w:eastAsia="黑体"/>
          <w:sz w:val="52"/>
          <w:szCs w:val="52"/>
        </w:rPr>
      </w:pPr>
    </w:p>
    <w:p w14:paraId="6C6618DD">
      <w:pPr>
        <w:spacing w:line="300" w:lineRule="auto"/>
        <w:jc w:val="center"/>
        <w:rPr>
          <w:rFonts w:ascii="黑体" w:hAnsi="Calibri" w:eastAsia="黑体"/>
          <w:sz w:val="52"/>
          <w:szCs w:val="52"/>
        </w:rPr>
      </w:pPr>
      <w:r>
        <w:rPr>
          <w:rFonts w:hint="eastAsia" w:ascii="黑体" w:hAnsi="Calibri" w:eastAsia="黑体"/>
          <w:sz w:val="52"/>
          <w:szCs w:val="52"/>
        </w:rPr>
        <w:t>竞争性磋商文件</w:t>
      </w:r>
    </w:p>
    <w:p w14:paraId="23D4C21C">
      <w:pPr>
        <w:spacing w:line="300" w:lineRule="auto"/>
        <w:jc w:val="center"/>
        <w:rPr>
          <w:rFonts w:ascii="Calibri" w:hAnsi="Calibri" w:eastAsia="方正仿宋_GBK"/>
          <w:b/>
          <w:snapToGrid w:val="0"/>
          <w:sz w:val="24"/>
          <w:szCs w:val="24"/>
        </w:rPr>
      </w:pPr>
    </w:p>
    <w:p w14:paraId="34276E56">
      <w:pPr>
        <w:spacing w:line="300" w:lineRule="auto"/>
        <w:jc w:val="center"/>
        <w:rPr>
          <w:rFonts w:ascii="Calibri" w:hAnsi="Calibri" w:eastAsia="方正仿宋_GBK"/>
          <w:b/>
          <w:snapToGrid w:val="0"/>
          <w:sz w:val="24"/>
        </w:rPr>
      </w:pPr>
    </w:p>
    <w:p w14:paraId="67C09BA0">
      <w:pPr>
        <w:spacing w:line="300" w:lineRule="auto"/>
        <w:jc w:val="center"/>
        <w:rPr>
          <w:rFonts w:ascii="Calibri" w:hAnsi="Calibri" w:eastAsia="方正仿宋_GBK"/>
          <w:b/>
          <w:snapToGrid w:val="0"/>
          <w:sz w:val="24"/>
        </w:rPr>
      </w:pPr>
    </w:p>
    <w:p w14:paraId="631F46C7">
      <w:pPr>
        <w:spacing w:line="300" w:lineRule="auto"/>
        <w:jc w:val="center"/>
        <w:rPr>
          <w:rFonts w:ascii="Calibri" w:hAnsi="Calibri" w:eastAsia="方正仿宋_GBK"/>
          <w:b/>
          <w:snapToGrid w:val="0"/>
          <w:sz w:val="24"/>
        </w:rPr>
      </w:pPr>
    </w:p>
    <w:p w14:paraId="41EB3196">
      <w:pPr>
        <w:spacing w:line="300" w:lineRule="auto"/>
        <w:jc w:val="center"/>
        <w:rPr>
          <w:rFonts w:ascii="Calibri" w:hAnsi="Calibri" w:eastAsia="方正仿宋_GBK"/>
          <w:b/>
          <w:snapToGrid w:val="0"/>
          <w:sz w:val="24"/>
        </w:rPr>
      </w:pPr>
    </w:p>
    <w:p w14:paraId="76DA138B">
      <w:pPr>
        <w:spacing w:line="300" w:lineRule="auto"/>
        <w:jc w:val="center"/>
        <w:rPr>
          <w:rFonts w:ascii="Calibri" w:hAnsi="Calibri" w:eastAsia="方正仿宋_GBK"/>
          <w:b/>
          <w:snapToGrid w:val="0"/>
          <w:sz w:val="24"/>
        </w:rPr>
      </w:pPr>
    </w:p>
    <w:p w14:paraId="272CA359">
      <w:pPr>
        <w:spacing w:line="300" w:lineRule="auto"/>
        <w:jc w:val="center"/>
        <w:rPr>
          <w:rFonts w:ascii="Calibri" w:hAnsi="Calibri" w:eastAsia="方正仿宋_GBK"/>
          <w:b/>
          <w:snapToGrid w:val="0"/>
          <w:sz w:val="24"/>
        </w:rPr>
      </w:pPr>
    </w:p>
    <w:p w14:paraId="76835DE0">
      <w:pPr>
        <w:spacing w:line="300" w:lineRule="auto"/>
        <w:jc w:val="center"/>
        <w:rPr>
          <w:rFonts w:ascii="Calibri" w:hAnsi="Calibri" w:eastAsia="方正仿宋_GBK"/>
          <w:b/>
          <w:snapToGrid w:val="0"/>
          <w:sz w:val="24"/>
        </w:rPr>
      </w:pPr>
    </w:p>
    <w:p w14:paraId="28B564B2">
      <w:pPr>
        <w:spacing w:line="300" w:lineRule="auto"/>
        <w:jc w:val="center"/>
        <w:rPr>
          <w:rFonts w:ascii="Calibri" w:hAnsi="Calibri" w:eastAsia="方正仿宋_GBK"/>
          <w:b/>
          <w:snapToGrid w:val="0"/>
          <w:sz w:val="24"/>
        </w:rPr>
      </w:pPr>
    </w:p>
    <w:p w14:paraId="51E4C021">
      <w:pPr>
        <w:spacing w:line="300" w:lineRule="auto"/>
        <w:jc w:val="center"/>
        <w:rPr>
          <w:rFonts w:ascii="Calibri" w:hAnsi="Calibri" w:eastAsia="方正仿宋_GBK"/>
          <w:b/>
          <w:snapToGrid w:val="0"/>
          <w:sz w:val="24"/>
        </w:rPr>
      </w:pPr>
    </w:p>
    <w:p w14:paraId="4FAB860F">
      <w:pPr>
        <w:spacing w:line="300" w:lineRule="auto"/>
        <w:jc w:val="center"/>
        <w:rPr>
          <w:rFonts w:ascii="Calibri" w:hAnsi="Calibri" w:eastAsia="方正仿宋_GBK"/>
          <w:b/>
          <w:snapToGrid w:val="0"/>
          <w:sz w:val="24"/>
        </w:rPr>
      </w:pPr>
    </w:p>
    <w:p w14:paraId="0242BFA6">
      <w:pPr>
        <w:spacing w:line="300" w:lineRule="auto"/>
        <w:jc w:val="center"/>
        <w:rPr>
          <w:rFonts w:ascii="Calibri" w:hAnsi="Calibri" w:eastAsia="方正仿宋_GBK"/>
          <w:b/>
          <w:snapToGrid w:val="0"/>
          <w:sz w:val="24"/>
        </w:rPr>
      </w:pPr>
    </w:p>
    <w:p w14:paraId="55BF00BF">
      <w:pPr>
        <w:spacing w:line="300" w:lineRule="auto"/>
        <w:jc w:val="right"/>
        <w:rPr>
          <w:rFonts w:ascii="Calibri" w:hAnsi="Calibri" w:eastAsia="方正仿宋_GBK"/>
          <w:sz w:val="36"/>
          <w:szCs w:val="36"/>
        </w:rPr>
      </w:pPr>
    </w:p>
    <w:p w14:paraId="1B8C7722">
      <w:pPr>
        <w:spacing w:line="300" w:lineRule="auto"/>
        <w:rPr>
          <w:rFonts w:ascii="宋体" w:hAnsi="宋体"/>
          <w:sz w:val="36"/>
          <w:szCs w:val="36"/>
        </w:rPr>
      </w:pPr>
    </w:p>
    <w:p w14:paraId="76C3125D">
      <w:pPr>
        <w:keepNext/>
        <w:keepLines/>
        <w:widowControl/>
        <w:spacing w:before="480" w:line="276" w:lineRule="auto"/>
        <w:jc w:val="center"/>
        <w:rPr>
          <w:rFonts w:ascii="宋体" w:hAnsi="宋体"/>
          <w:b/>
          <w:bCs/>
          <w:sz w:val="32"/>
          <w:szCs w:val="32"/>
        </w:rPr>
      </w:pPr>
      <w:r>
        <w:rPr>
          <w:rFonts w:hint="eastAsia" w:ascii="宋体" w:hAnsi="宋体"/>
          <w:b/>
          <w:bCs/>
          <w:sz w:val="32"/>
          <w:szCs w:val="32"/>
        </w:rPr>
        <w:t>采购人 ：南京审计大学金审学院</w:t>
      </w:r>
    </w:p>
    <w:p w14:paraId="34A470C6">
      <w:pPr>
        <w:keepNext/>
        <w:keepLines/>
        <w:widowControl/>
        <w:spacing w:before="480" w:line="276" w:lineRule="auto"/>
        <w:jc w:val="center"/>
        <w:rPr>
          <w:rFonts w:ascii="黑体" w:hAnsi="黑体" w:eastAsia="黑体"/>
          <w:b/>
          <w:bCs/>
          <w:kern w:val="0"/>
          <w:sz w:val="36"/>
          <w:szCs w:val="36"/>
          <w:lang w:val="zh-CN"/>
        </w:rPr>
      </w:pPr>
      <w:r>
        <w:rPr>
          <w:rFonts w:hint="eastAsia" w:ascii="宋体" w:hAnsi="宋体"/>
          <w:b/>
          <w:bCs/>
          <w:sz w:val="32"/>
          <w:szCs w:val="32"/>
        </w:rPr>
        <w:t>2026年6月</w:t>
      </w:r>
      <w:r>
        <w:rPr>
          <w:rFonts w:ascii="Cambria" w:hAnsi="Cambria"/>
          <w:kern w:val="0"/>
          <w:sz w:val="28"/>
          <w:szCs w:val="28"/>
          <w:lang w:val="zh-CN"/>
        </w:rPr>
        <w:br w:type="page"/>
      </w:r>
      <w:r>
        <w:rPr>
          <w:rFonts w:hint="eastAsia" w:ascii="黑体" w:hAnsi="黑体" w:eastAsia="黑体"/>
          <w:b/>
          <w:bCs/>
          <w:kern w:val="0"/>
          <w:sz w:val="40"/>
          <w:szCs w:val="44"/>
          <w:lang w:val="zh-CN"/>
        </w:rPr>
        <w:t>目 录</w:t>
      </w:r>
    </w:p>
    <w:p w14:paraId="2387207E">
      <w:pPr>
        <w:rPr>
          <w:szCs w:val="24"/>
          <w:lang w:val="zh-CN"/>
        </w:rPr>
      </w:pPr>
    </w:p>
    <w:p w14:paraId="11F63CF8">
      <w:pPr>
        <w:pStyle w:val="47"/>
        <w:tabs>
          <w:tab w:val="right" w:leader="dot" w:pos="8290"/>
        </w:tabs>
        <w:spacing w:line="360" w:lineRule="auto"/>
        <w:rPr>
          <w:rFonts w:asciiTheme="minorHAnsi" w:hAnsiTheme="minorHAnsi" w:eastAsiaTheme="minorEastAsia" w:cstheme="minorBidi"/>
          <w:sz w:val="28"/>
          <w:szCs w:val="32"/>
          <w14:ligatures w14:val="standardContextual"/>
        </w:rPr>
      </w:pPr>
      <w:r>
        <w:rPr>
          <w:rFonts w:hint="eastAsia" w:ascii="宋体" w:hAnsi="宋体"/>
          <w:b w:val="0"/>
          <w:bCs/>
          <w:sz w:val="280"/>
          <w:szCs w:val="280"/>
        </w:rPr>
        <w:fldChar w:fldCharType="begin"/>
      </w:r>
      <w:r>
        <w:rPr>
          <w:rFonts w:hint="eastAsia" w:ascii="宋体" w:hAnsi="宋体"/>
          <w:b w:val="0"/>
          <w:bCs/>
          <w:sz w:val="280"/>
          <w:szCs w:val="280"/>
        </w:rPr>
        <w:instrText xml:space="preserve"> TOC \o "1-3" \h \z \u </w:instrText>
      </w:r>
      <w:r>
        <w:rPr>
          <w:rFonts w:hint="eastAsia" w:ascii="宋体" w:hAnsi="宋体"/>
          <w:b w:val="0"/>
          <w:bCs/>
          <w:sz w:val="280"/>
          <w:szCs w:val="280"/>
        </w:rPr>
        <w:fldChar w:fldCharType="separate"/>
      </w:r>
      <w:r>
        <w:fldChar w:fldCharType="begin"/>
      </w:r>
      <w:r>
        <w:instrText xml:space="preserve"> HYPERLINK \l "_Toc179553567" </w:instrText>
      </w:r>
      <w:r>
        <w:fldChar w:fldCharType="separate"/>
      </w:r>
      <w:r>
        <w:rPr>
          <w:rStyle w:val="77"/>
          <w:rFonts w:hint="eastAsia" w:ascii="宋体" w:hAnsi="宋体" w:cs="宋体"/>
          <w:b w:val="0"/>
          <w:bCs/>
          <w:kern w:val="0"/>
          <w:sz w:val="28"/>
          <w:szCs w:val="36"/>
        </w:rPr>
        <w:t>第一章  竞争性磋商公告</w:t>
      </w:r>
      <w:r>
        <w:rPr>
          <w:rFonts w:hint="eastAsia"/>
          <w:sz w:val="28"/>
          <w:szCs w:val="36"/>
        </w:rPr>
        <w:tab/>
      </w:r>
      <w:r>
        <w:rPr>
          <w:rFonts w:hint="eastAsia"/>
          <w:sz w:val="28"/>
          <w:szCs w:val="36"/>
        </w:rPr>
        <w:t>3</w:t>
      </w:r>
      <w:r>
        <w:rPr>
          <w:rFonts w:hint="eastAsia"/>
          <w:sz w:val="28"/>
          <w:szCs w:val="36"/>
        </w:rPr>
        <w:fldChar w:fldCharType="end"/>
      </w:r>
    </w:p>
    <w:p w14:paraId="2E8DBC9A">
      <w:pPr>
        <w:pStyle w:val="47"/>
        <w:tabs>
          <w:tab w:val="right" w:leader="dot" w:pos="8290"/>
        </w:tabs>
        <w:spacing w:line="360" w:lineRule="auto"/>
        <w:rPr>
          <w:rFonts w:asciiTheme="minorHAnsi" w:hAnsiTheme="minorHAnsi" w:eastAsiaTheme="minorEastAsia" w:cstheme="minorBidi"/>
          <w:sz w:val="28"/>
          <w:szCs w:val="32"/>
          <w14:ligatures w14:val="standardContextual"/>
        </w:rPr>
      </w:pPr>
      <w:r>
        <w:fldChar w:fldCharType="begin"/>
      </w:r>
      <w:r>
        <w:instrText xml:space="preserve"> HYPERLINK \l "_Toc179553568" </w:instrText>
      </w:r>
      <w:r>
        <w:fldChar w:fldCharType="separate"/>
      </w:r>
      <w:r>
        <w:rPr>
          <w:rStyle w:val="77"/>
          <w:rFonts w:hint="eastAsia" w:ascii="宋体" w:hAnsi="宋体" w:cs="宋体"/>
          <w:b w:val="0"/>
          <w:bCs/>
          <w:kern w:val="0"/>
          <w:sz w:val="28"/>
          <w:szCs w:val="36"/>
        </w:rPr>
        <w:t>第二章  竞争性磋商须知</w:t>
      </w:r>
      <w:r>
        <w:rPr>
          <w:rFonts w:hint="eastAsia"/>
          <w:sz w:val="28"/>
          <w:szCs w:val="36"/>
        </w:rPr>
        <w:tab/>
      </w:r>
      <w:r>
        <w:rPr>
          <w:rFonts w:hint="eastAsia"/>
          <w:sz w:val="28"/>
          <w:szCs w:val="36"/>
        </w:rPr>
        <w:t>7</w:t>
      </w:r>
      <w:r>
        <w:rPr>
          <w:rFonts w:hint="eastAsia"/>
          <w:sz w:val="28"/>
          <w:szCs w:val="36"/>
        </w:rPr>
        <w:fldChar w:fldCharType="end"/>
      </w:r>
    </w:p>
    <w:p w14:paraId="0E8936DE">
      <w:pPr>
        <w:pStyle w:val="47"/>
        <w:tabs>
          <w:tab w:val="right" w:leader="dot" w:pos="8290"/>
        </w:tabs>
        <w:spacing w:line="360" w:lineRule="auto"/>
        <w:rPr>
          <w:rFonts w:asciiTheme="minorHAnsi" w:hAnsiTheme="minorHAnsi" w:eastAsiaTheme="minorEastAsia" w:cstheme="minorBidi"/>
          <w:sz w:val="28"/>
          <w:szCs w:val="32"/>
          <w14:ligatures w14:val="standardContextual"/>
        </w:rPr>
      </w:pPr>
      <w:r>
        <w:fldChar w:fldCharType="begin"/>
      </w:r>
      <w:r>
        <w:instrText xml:space="preserve"> HYPERLINK \l "_Toc179553569" </w:instrText>
      </w:r>
      <w:r>
        <w:fldChar w:fldCharType="separate"/>
      </w:r>
      <w:r>
        <w:rPr>
          <w:rStyle w:val="77"/>
          <w:rFonts w:hint="eastAsia" w:ascii="宋体" w:hAnsi="宋体" w:cs="宋体"/>
          <w:b w:val="0"/>
          <w:bCs/>
          <w:kern w:val="0"/>
          <w:sz w:val="28"/>
          <w:szCs w:val="36"/>
        </w:rPr>
        <w:t>第三章  评标办法和标准</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_Toc179553569 \h</w:instrText>
      </w:r>
      <w:r>
        <w:rPr>
          <w:rFonts w:hint="eastAsia"/>
          <w:sz w:val="28"/>
          <w:szCs w:val="36"/>
        </w:rPr>
        <w:instrText xml:space="preserve"> </w:instrText>
      </w:r>
      <w:r>
        <w:rPr>
          <w:rFonts w:hint="eastAsia"/>
          <w:sz w:val="28"/>
          <w:szCs w:val="36"/>
        </w:rPr>
        <w:fldChar w:fldCharType="separate"/>
      </w:r>
      <w:r>
        <w:rPr>
          <w:sz w:val="28"/>
          <w:szCs w:val="36"/>
        </w:rPr>
        <w:t>1</w:t>
      </w:r>
      <w:r>
        <w:rPr>
          <w:rFonts w:hint="eastAsia"/>
          <w:sz w:val="28"/>
          <w:szCs w:val="36"/>
        </w:rPr>
        <w:t>9</w:t>
      </w:r>
      <w:r>
        <w:rPr>
          <w:rFonts w:hint="eastAsia"/>
          <w:sz w:val="28"/>
          <w:szCs w:val="36"/>
        </w:rPr>
        <w:fldChar w:fldCharType="end"/>
      </w:r>
      <w:r>
        <w:rPr>
          <w:rFonts w:hint="eastAsia"/>
          <w:sz w:val="28"/>
          <w:szCs w:val="36"/>
        </w:rPr>
        <w:fldChar w:fldCharType="end"/>
      </w:r>
    </w:p>
    <w:p w14:paraId="410A8ABC">
      <w:pPr>
        <w:pStyle w:val="47"/>
        <w:tabs>
          <w:tab w:val="right" w:leader="dot" w:pos="8290"/>
        </w:tabs>
        <w:spacing w:line="360" w:lineRule="auto"/>
        <w:rPr>
          <w:rFonts w:asciiTheme="minorHAnsi" w:hAnsiTheme="minorHAnsi" w:eastAsiaTheme="minorEastAsia" w:cstheme="minorBidi"/>
          <w:sz w:val="28"/>
          <w:szCs w:val="32"/>
          <w14:ligatures w14:val="standardContextual"/>
        </w:rPr>
      </w:pPr>
      <w:r>
        <w:fldChar w:fldCharType="begin"/>
      </w:r>
      <w:r>
        <w:instrText xml:space="preserve"> HYPERLINK \l "_Toc179553570" </w:instrText>
      </w:r>
      <w:r>
        <w:fldChar w:fldCharType="separate"/>
      </w:r>
      <w:r>
        <w:rPr>
          <w:rStyle w:val="77"/>
          <w:rFonts w:hint="eastAsia" w:ascii="宋体" w:hAnsi="宋体" w:cs="宋体"/>
          <w:b w:val="0"/>
          <w:bCs/>
          <w:kern w:val="0"/>
          <w:sz w:val="28"/>
          <w:szCs w:val="36"/>
        </w:rPr>
        <w:t>第四章  项目需求</w:t>
      </w:r>
      <w:r>
        <w:rPr>
          <w:rFonts w:hint="eastAsia"/>
          <w:sz w:val="28"/>
          <w:szCs w:val="36"/>
        </w:rPr>
        <w:tab/>
      </w:r>
      <w:r>
        <w:rPr>
          <w:rFonts w:hint="eastAsia"/>
          <w:sz w:val="28"/>
          <w:szCs w:val="36"/>
        </w:rPr>
        <w:t>22</w:t>
      </w:r>
      <w:r>
        <w:rPr>
          <w:rFonts w:hint="eastAsia"/>
          <w:sz w:val="28"/>
          <w:szCs w:val="36"/>
        </w:rPr>
        <w:fldChar w:fldCharType="end"/>
      </w:r>
    </w:p>
    <w:p w14:paraId="4C792EF4">
      <w:pPr>
        <w:pStyle w:val="47"/>
        <w:tabs>
          <w:tab w:val="right" w:leader="dot" w:pos="8290"/>
        </w:tabs>
        <w:spacing w:line="360" w:lineRule="auto"/>
        <w:rPr>
          <w:rFonts w:asciiTheme="minorHAnsi" w:hAnsiTheme="minorHAnsi" w:eastAsiaTheme="minorEastAsia" w:cstheme="minorBidi"/>
          <w:sz w:val="28"/>
          <w:szCs w:val="32"/>
          <w14:ligatures w14:val="standardContextual"/>
        </w:rPr>
      </w:pPr>
      <w:r>
        <w:fldChar w:fldCharType="begin"/>
      </w:r>
      <w:r>
        <w:instrText xml:space="preserve"> HYPERLINK \l "_Toc179553571" </w:instrText>
      </w:r>
      <w:r>
        <w:fldChar w:fldCharType="separate"/>
      </w:r>
      <w:r>
        <w:rPr>
          <w:rStyle w:val="77"/>
          <w:rFonts w:hint="eastAsia" w:ascii="宋体" w:hAnsi="宋体" w:cs="宋体"/>
          <w:b w:val="0"/>
          <w:bCs/>
          <w:kern w:val="0"/>
          <w:sz w:val="28"/>
          <w:szCs w:val="36"/>
        </w:rPr>
        <w:t>第五章  合同条款及格式</w:t>
      </w:r>
      <w:r>
        <w:rPr>
          <w:rFonts w:hint="eastAsia"/>
          <w:sz w:val="28"/>
          <w:szCs w:val="36"/>
        </w:rPr>
        <w:tab/>
      </w:r>
      <w:r>
        <w:rPr>
          <w:rFonts w:hint="eastAsia"/>
          <w:sz w:val="28"/>
          <w:szCs w:val="36"/>
        </w:rPr>
        <w:t>32</w:t>
      </w:r>
      <w:r>
        <w:rPr>
          <w:rFonts w:hint="eastAsia"/>
          <w:sz w:val="28"/>
          <w:szCs w:val="36"/>
        </w:rPr>
        <w:fldChar w:fldCharType="end"/>
      </w:r>
    </w:p>
    <w:p w14:paraId="600B2C9E">
      <w:pPr>
        <w:pStyle w:val="47"/>
        <w:tabs>
          <w:tab w:val="right" w:leader="dot" w:pos="8290"/>
        </w:tabs>
        <w:spacing w:line="360" w:lineRule="auto"/>
        <w:rPr>
          <w:rFonts w:asciiTheme="minorHAnsi" w:hAnsiTheme="minorHAnsi" w:eastAsiaTheme="minorEastAsia" w:cstheme="minorBidi"/>
          <w:sz w:val="28"/>
          <w:szCs w:val="32"/>
          <w14:ligatures w14:val="standardContextual"/>
        </w:rPr>
      </w:pPr>
      <w:r>
        <w:fldChar w:fldCharType="begin"/>
      </w:r>
      <w:r>
        <w:instrText xml:space="preserve"> HYPERLINK \l "_Toc179553572" </w:instrText>
      </w:r>
      <w:r>
        <w:fldChar w:fldCharType="separate"/>
      </w:r>
      <w:r>
        <w:rPr>
          <w:rStyle w:val="77"/>
          <w:rFonts w:hint="eastAsia" w:ascii="宋体" w:hAnsi="宋体" w:cs="宋体"/>
          <w:b w:val="0"/>
          <w:bCs/>
          <w:kern w:val="0"/>
          <w:sz w:val="28"/>
          <w:szCs w:val="36"/>
        </w:rPr>
        <w:t>第六章  响应文件格式</w:t>
      </w:r>
      <w:r>
        <w:rPr>
          <w:rFonts w:hint="eastAsia"/>
          <w:sz w:val="28"/>
          <w:szCs w:val="36"/>
        </w:rPr>
        <w:tab/>
      </w:r>
      <w:r>
        <w:rPr>
          <w:rFonts w:hint="eastAsia"/>
          <w:sz w:val="28"/>
          <w:szCs w:val="36"/>
        </w:rPr>
        <w:t>37</w:t>
      </w:r>
      <w:r>
        <w:rPr>
          <w:rFonts w:hint="eastAsia"/>
          <w:sz w:val="28"/>
          <w:szCs w:val="36"/>
        </w:rPr>
        <w:fldChar w:fldCharType="end"/>
      </w:r>
    </w:p>
    <w:p w14:paraId="27BB8B68">
      <w:pPr>
        <w:tabs>
          <w:tab w:val="right" w:leader="dot" w:pos="9736"/>
        </w:tabs>
        <w:spacing w:line="360" w:lineRule="auto"/>
        <w:rPr>
          <w:rFonts w:ascii="宋体" w:hAnsi="宋体"/>
          <w:sz w:val="40"/>
          <w:szCs w:val="40"/>
        </w:rPr>
      </w:pPr>
      <w:r>
        <w:rPr>
          <w:rFonts w:hint="eastAsia" w:ascii="宋体" w:hAnsi="宋体"/>
          <w:b/>
          <w:bCs/>
          <w:sz w:val="280"/>
          <w:szCs w:val="280"/>
          <w:lang w:val="zh-CN"/>
        </w:rPr>
        <w:fldChar w:fldCharType="end"/>
      </w:r>
    </w:p>
    <w:p w14:paraId="60DFDEBC">
      <w:pPr>
        <w:pageBreakBefore/>
        <w:tabs>
          <w:tab w:val="center" w:pos="4567"/>
        </w:tabs>
        <w:spacing w:line="360" w:lineRule="auto"/>
        <w:jc w:val="center"/>
        <w:outlineLvl w:val="0"/>
        <w:rPr>
          <w:rFonts w:eastAsia="黑体"/>
          <w:bCs/>
          <w:sz w:val="36"/>
          <w:szCs w:val="36"/>
        </w:rPr>
      </w:pPr>
      <w:bookmarkStart w:id="5" w:name="_Toc30451147"/>
      <w:bookmarkStart w:id="6" w:name="_Toc41462241"/>
      <w:bookmarkStart w:id="7" w:name="_Toc30451098"/>
      <w:bookmarkStart w:id="8" w:name="_Toc115787245"/>
      <w:bookmarkStart w:id="9" w:name="_Toc155798101"/>
      <w:bookmarkStart w:id="10" w:name="OLE_LINK3"/>
      <w:bookmarkStart w:id="11" w:name="OLE_LINK2"/>
      <w:bookmarkStart w:id="12" w:name="OLE_LINK77"/>
      <w:r>
        <w:rPr>
          <w:rFonts w:eastAsia="黑体"/>
          <w:bCs/>
          <w:sz w:val="36"/>
          <w:szCs w:val="36"/>
        </w:rPr>
        <w:t xml:space="preserve">第一章 </w:t>
      </w:r>
      <w:bookmarkEnd w:id="5"/>
      <w:bookmarkEnd w:id="6"/>
      <w:bookmarkEnd w:id="7"/>
      <w:bookmarkEnd w:id="8"/>
      <w:bookmarkStart w:id="13" w:name="OLE_LINK40"/>
      <w:bookmarkStart w:id="14" w:name="OLE_LINK37"/>
      <w:r>
        <w:rPr>
          <w:rFonts w:hint="eastAsia" w:eastAsia="黑体"/>
          <w:bCs/>
          <w:sz w:val="36"/>
          <w:szCs w:val="36"/>
        </w:rPr>
        <w:t>竞争性磋商</w:t>
      </w:r>
      <w:bookmarkEnd w:id="9"/>
      <w:r>
        <w:rPr>
          <w:rFonts w:hint="eastAsia" w:eastAsia="黑体"/>
          <w:bCs/>
          <w:sz w:val="36"/>
          <w:szCs w:val="36"/>
        </w:rPr>
        <w:t>公告</w:t>
      </w:r>
    </w:p>
    <w:p w14:paraId="0770B6DB">
      <w:pPr>
        <w:pStyle w:val="425"/>
        <w:widowControl/>
        <w:spacing w:line="360" w:lineRule="auto"/>
        <w:ind w:firstLine="482"/>
        <w:rPr>
          <w:rFonts w:hint="default" w:ascii="宋体" w:hAnsi="宋体" w:eastAsia="宋体" w:cs="宋体"/>
          <w:color w:val="auto"/>
          <w:sz w:val="24"/>
          <w:szCs w:val="24"/>
        </w:rPr>
      </w:pPr>
      <w:bookmarkStart w:id="15" w:name="_Hlk37324074"/>
      <w:bookmarkStart w:id="16" w:name="OLE_LINK5"/>
      <w:bookmarkStart w:id="17" w:name="OLE_LINK6"/>
    </w:p>
    <w:p w14:paraId="0A2399E6">
      <w:pPr>
        <w:pStyle w:val="425"/>
        <w:widowControl/>
        <w:spacing w:line="360" w:lineRule="auto"/>
        <w:ind w:firstLine="482"/>
        <w:rPr>
          <w:rFonts w:hint="default" w:ascii="宋体" w:hAnsi="宋体" w:eastAsia="宋体" w:cs="宋体"/>
          <w:color w:val="auto"/>
          <w:sz w:val="24"/>
          <w:szCs w:val="24"/>
        </w:rPr>
      </w:pPr>
      <w:bookmarkStart w:id="18" w:name="OLE_LINK65"/>
      <w:r>
        <w:rPr>
          <w:rFonts w:ascii="宋体" w:hAnsi="宋体" w:eastAsia="宋体" w:cs="宋体"/>
          <w:color w:val="auto"/>
          <w:sz w:val="24"/>
          <w:szCs w:val="24"/>
        </w:rPr>
        <w:t>金审学院</w:t>
      </w:r>
      <w:bookmarkStart w:id="19" w:name="OLE_LINK10"/>
      <w:bookmarkStart w:id="20" w:name="OLE_LINK9"/>
      <w:r>
        <w:rPr>
          <w:rFonts w:ascii="宋体" w:hAnsi="宋体" w:eastAsia="宋体" w:cs="宋体"/>
          <w:color w:val="auto"/>
          <w:sz w:val="24"/>
          <w:szCs w:val="24"/>
        </w:rPr>
        <w:t>财务系统更新软件采购项目</w:t>
      </w:r>
      <w:bookmarkEnd w:id="19"/>
      <w:bookmarkEnd w:id="20"/>
      <w:r>
        <w:rPr>
          <w:rFonts w:ascii="宋体" w:hAnsi="宋体" w:eastAsia="宋体" w:cs="宋体"/>
          <w:color w:val="auto"/>
          <w:sz w:val="24"/>
          <w:szCs w:val="24"/>
        </w:rPr>
        <w:t>已由项目审批/核准/备案机关批准，项目资金来源为自筹资金（拟为银校合作资金），采购人为南京审计大学金审学院。</w:t>
      </w:r>
    </w:p>
    <w:p w14:paraId="12D3B1B9">
      <w:pPr>
        <w:pStyle w:val="425"/>
        <w:widowControl/>
        <w:spacing w:line="360" w:lineRule="auto"/>
        <w:ind w:firstLine="482"/>
        <w:rPr>
          <w:rFonts w:hint="default" w:ascii="宋体" w:hAnsi="宋体" w:eastAsia="宋体" w:cs="宋体"/>
          <w:color w:val="auto"/>
          <w:sz w:val="24"/>
          <w:szCs w:val="24"/>
        </w:rPr>
      </w:pPr>
      <w:r>
        <w:rPr>
          <w:rFonts w:ascii="宋体" w:hAnsi="宋体" w:eastAsia="宋体" w:cs="宋体"/>
          <w:color w:val="auto"/>
          <w:sz w:val="24"/>
          <w:szCs w:val="24"/>
        </w:rPr>
        <w:t>本项目已具备招标条件，现采购方式为竞争性磋商。</w:t>
      </w:r>
    </w:p>
    <w:p w14:paraId="5E55BD47">
      <w:pPr>
        <w:pStyle w:val="425"/>
        <w:widowControl/>
        <w:spacing w:line="360" w:lineRule="auto"/>
        <w:ind w:firstLine="482"/>
        <w:rPr>
          <w:rFonts w:hint="default" w:ascii="宋体" w:hAnsi="宋体"/>
          <w:b/>
          <w:color w:val="auto"/>
          <w:sz w:val="24"/>
          <w:szCs w:val="24"/>
        </w:rPr>
      </w:pPr>
      <w:r>
        <w:rPr>
          <w:rFonts w:ascii="宋体" w:hAnsi="宋体" w:eastAsia="宋体" w:cs="宋体"/>
          <w:b/>
          <w:color w:val="auto"/>
          <w:sz w:val="24"/>
          <w:szCs w:val="24"/>
        </w:rPr>
        <w:t>一、项目基本情况</w:t>
      </w:r>
    </w:p>
    <w:p w14:paraId="1A4B3A0B">
      <w:pPr>
        <w:pStyle w:val="425"/>
        <w:widowControl/>
        <w:spacing w:line="360" w:lineRule="auto"/>
        <w:ind w:firstLine="480"/>
        <w:rPr>
          <w:rFonts w:hint="default" w:ascii="宋体" w:hAnsi="宋体" w:eastAsia="PMingLiU" w:cs="宋体"/>
          <w:color w:val="auto"/>
          <w:sz w:val="24"/>
          <w:szCs w:val="24"/>
        </w:rPr>
      </w:pPr>
      <w:r>
        <w:rPr>
          <w:rFonts w:ascii="宋体" w:hAnsi="宋体" w:eastAsia="宋体" w:cs="宋体"/>
          <w:color w:val="auto"/>
          <w:sz w:val="24"/>
          <w:szCs w:val="24"/>
        </w:rPr>
        <w:t>1、项目编号：</w:t>
      </w:r>
      <w:bookmarkStart w:id="21" w:name="OLE_LINK11"/>
      <w:bookmarkStart w:id="22" w:name="OLE_LINK17"/>
      <w:bookmarkStart w:id="23" w:name="OLE_LINK35"/>
      <w:r>
        <w:rPr>
          <w:rFonts w:ascii="宋体" w:hAnsi="宋体" w:eastAsia="宋体" w:cs="宋体"/>
          <w:color w:val="auto"/>
          <w:sz w:val="24"/>
          <w:szCs w:val="24"/>
        </w:rPr>
        <w:t>JSSYJC-ZB-202605</w:t>
      </w:r>
      <w:bookmarkEnd w:id="21"/>
      <w:r>
        <w:rPr>
          <w:rFonts w:ascii="宋体" w:hAnsi="宋体" w:eastAsia="宋体" w:cs="宋体"/>
          <w:color w:val="auto"/>
          <w:sz w:val="24"/>
          <w:szCs w:val="24"/>
        </w:rPr>
        <w:t>19</w:t>
      </w:r>
      <w:bookmarkEnd w:id="22"/>
      <w:bookmarkEnd w:id="23"/>
    </w:p>
    <w:p w14:paraId="52FE6507">
      <w:pPr>
        <w:pStyle w:val="425"/>
        <w:widowControl/>
        <w:spacing w:line="360" w:lineRule="auto"/>
        <w:ind w:firstLine="480"/>
        <w:rPr>
          <w:rFonts w:hint="default" w:ascii="宋体" w:hAnsi="宋体"/>
          <w:color w:val="auto"/>
          <w:sz w:val="24"/>
          <w:szCs w:val="24"/>
        </w:rPr>
      </w:pPr>
      <w:r>
        <w:rPr>
          <w:rFonts w:ascii="宋体" w:hAnsi="宋体" w:eastAsia="宋体" w:cs="宋体"/>
          <w:color w:val="auto"/>
          <w:sz w:val="24"/>
          <w:szCs w:val="24"/>
        </w:rPr>
        <w:t>2、项目名称：</w:t>
      </w:r>
      <w:bookmarkStart w:id="24" w:name="OLE_LINK23"/>
      <w:bookmarkStart w:id="25" w:name="OLE_LINK8"/>
      <w:bookmarkStart w:id="26" w:name="OLE_LINK47"/>
      <w:r>
        <w:rPr>
          <w:rFonts w:ascii="宋体" w:hAnsi="宋体" w:eastAsia="宋体" w:cs="宋体"/>
          <w:color w:val="auto"/>
          <w:sz w:val="24"/>
          <w:szCs w:val="24"/>
        </w:rPr>
        <w:t>金审学院</w:t>
      </w:r>
      <w:bookmarkStart w:id="27" w:name="OLE_LINK16"/>
      <w:r>
        <w:rPr>
          <w:rFonts w:ascii="宋体" w:hAnsi="宋体" w:eastAsia="宋体" w:cs="宋体"/>
          <w:color w:val="auto"/>
          <w:sz w:val="24"/>
          <w:szCs w:val="24"/>
        </w:rPr>
        <w:t>智慧</w:t>
      </w:r>
      <w:r>
        <w:rPr>
          <w:rFonts w:ascii="宋体" w:hAnsi="宋体" w:eastAsia="宋体" w:cs="宋体"/>
          <w:color w:val="auto"/>
          <w:sz w:val="24"/>
          <w:szCs w:val="24"/>
          <w:lang w:val="zh-TW"/>
        </w:rPr>
        <w:t>财务系统软件采购项目</w:t>
      </w:r>
      <w:bookmarkEnd w:id="24"/>
      <w:bookmarkEnd w:id="25"/>
      <w:bookmarkEnd w:id="26"/>
      <w:bookmarkEnd w:id="27"/>
    </w:p>
    <w:p w14:paraId="04769DC1">
      <w:pPr>
        <w:pStyle w:val="425"/>
        <w:widowControl/>
        <w:spacing w:line="360" w:lineRule="auto"/>
        <w:ind w:firstLine="480"/>
        <w:rPr>
          <w:rFonts w:hint="default" w:ascii="宋体" w:hAnsi="宋体" w:eastAsia="宋体" w:cs="宋体"/>
          <w:color w:val="auto"/>
          <w:sz w:val="24"/>
          <w:szCs w:val="24"/>
          <w:lang w:val="zh-TW"/>
        </w:rPr>
      </w:pPr>
      <w:r>
        <w:rPr>
          <w:rFonts w:hint="default" w:ascii="宋体" w:hAnsi="宋体" w:eastAsia="宋体" w:cs="宋体"/>
          <w:color w:val="auto"/>
          <w:sz w:val="24"/>
          <w:szCs w:val="24"/>
        </w:rPr>
        <w:t>3</w:t>
      </w:r>
      <w:r>
        <w:rPr>
          <w:rFonts w:ascii="宋体" w:hAnsi="宋体" w:eastAsia="宋体" w:cs="宋体"/>
          <w:color w:val="auto"/>
          <w:sz w:val="24"/>
          <w:szCs w:val="24"/>
        </w:rPr>
        <w:t>、</w:t>
      </w:r>
      <w:r>
        <w:rPr>
          <w:rFonts w:ascii="宋体" w:hAnsi="宋体" w:eastAsia="宋体" w:cs="宋体"/>
          <w:color w:val="auto"/>
          <w:sz w:val="24"/>
          <w:szCs w:val="24"/>
          <w:lang w:val="zh-TW"/>
        </w:rPr>
        <w:t>采购方式：竞争性磋商</w:t>
      </w:r>
    </w:p>
    <w:p w14:paraId="558EB148">
      <w:pPr>
        <w:pStyle w:val="425"/>
        <w:widowControl/>
        <w:spacing w:line="360" w:lineRule="auto"/>
        <w:ind w:firstLine="480"/>
        <w:rPr>
          <w:rFonts w:hint="default" w:ascii="宋体" w:hAnsi="宋体" w:eastAsia="宋体" w:cs="宋体"/>
          <w:color w:val="auto"/>
          <w:sz w:val="24"/>
          <w:szCs w:val="24"/>
        </w:rPr>
      </w:pPr>
      <w:r>
        <w:rPr>
          <w:rFonts w:ascii="宋体" w:hAnsi="宋体" w:eastAsia="宋体" w:cs="宋体"/>
          <w:color w:val="auto"/>
          <w:sz w:val="24"/>
          <w:szCs w:val="24"/>
          <w:lang w:val="zh-TW"/>
        </w:rPr>
        <w:t>4、经费性质：自筹资金</w:t>
      </w:r>
    </w:p>
    <w:p w14:paraId="5E33EB86">
      <w:pPr>
        <w:pStyle w:val="425"/>
        <w:widowControl/>
        <w:spacing w:line="360" w:lineRule="auto"/>
        <w:ind w:firstLine="480"/>
        <w:rPr>
          <w:rFonts w:hint="default" w:ascii="宋体" w:hAnsi="宋体" w:eastAsia="宋体" w:cs="宋体"/>
          <w:color w:val="auto"/>
          <w:sz w:val="24"/>
          <w:szCs w:val="24"/>
          <w:lang w:val="zh-TW"/>
        </w:rPr>
      </w:pPr>
      <w:r>
        <w:rPr>
          <w:rFonts w:hint="default" w:ascii="宋体" w:hAnsi="宋体" w:eastAsia="宋体" w:cs="宋体"/>
          <w:color w:val="auto"/>
          <w:sz w:val="24"/>
          <w:szCs w:val="24"/>
          <w:lang w:val="zh-TW"/>
        </w:rPr>
        <w:t>5</w:t>
      </w:r>
      <w:r>
        <w:rPr>
          <w:rFonts w:ascii="宋体" w:hAnsi="宋体" w:eastAsia="宋体" w:cs="宋体"/>
          <w:color w:val="auto"/>
          <w:sz w:val="24"/>
          <w:szCs w:val="24"/>
          <w:lang w:val="zh-TW"/>
        </w:rPr>
        <w:t>、</w:t>
      </w:r>
      <w:r>
        <w:rPr>
          <w:rFonts w:hint="default" w:ascii="宋体" w:hAnsi="宋体" w:eastAsia="宋体" w:cs="宋体"/>
          <w:color w:val="auto"/>
          <w:sz w:val="24"/>
          <w:szCs w:val="24"/>
          <w:lang w:val="zh-TW"/>
        </w:rPr>
        <w:t>最高限价：</w:t>
      </w:r>
      <w:r>
        <w:rPr>
          <w:rFonts w:ascii="宋体" w:hAnsi="宋体" w:eastAsia="宋体" w:cs="宋体"/>
          <w:color w:val="auto"/>
          <w:sz w:val="24"/>
          <w:szCs w:val="24"/>
          <w:lang w:val="zh-TW"/>
        </w:rPr>
        <w:t>96万元</w:t>
      </w:r>
    </w:p>
    <w:p w14:paraId="1AD7968D">
      <w:pPr>
        <w:pStyle w:val="425"/>
        <w:widowControl/>
        <w:spacing w:line="360" w:lineRule="auto"/>
        <w:ind w:firstLine="480"/>
        <w:rPr>
          <w:rFonts w:hint="default" w:ascii="宋体" w:hAnsi="宋体" w:eastAsia="宋体" w:cs="宋体"/>
          <w:color w:val="auto"/>
          <w:sz w:val="24"/>
          <w:szCs w:val="24"/>
          <w:lang w:val="zh-TW"/>
        </w:rPr>
      </w:pPr>
      <w:r>
        <w:rPr>
          <w:rFonts w:ascii="宋体" w:hAnsi="宋体" w:eastAsia="宋体" w:cs="宋体"/>
          <w:color w:val="auto"/>
          <w:sz w:val="24"/>
          <w:szCs w:val="24"/>
          <w:lang w:val="zh-TW"/>
        </w:rPr>
        <w:t>6、采购需求：</w:t>
      </w:r>
      <w:bookmarkStart w:id="28" w:name="OLE_LINK25"/>
      <w:bookmarkStart w:id="29" w:name="OLE_LINK36"/>
      <w:bookmarkStart w:id="30" w:name="OLE_LINK48"/>
      <w:bookmarkStart w:id="31" w:name="OLE_LINK49"/>
      <w:r>
        <w:rPr>
          <w:rFonts w:ascii="宋体" w:hAnsi="宋体" w:eastAsia="宋体" w:cs="宋体"/>
          <w:color w:val="auto"/>
          <w:sz w:val="24"/>
          <w:szCs w:val="24"/>
          <w:lang w:val="zh-TW"/>
        </w:rPr>
        <w:t>我校拟采购预算管理系统、网上报销系统及小额发放系统，中标单位需根据采购人要求对采购软件进行安装，并与采购人现有软件进行对接，</w:t>
      </w:r>
      <w:bookmarkEnd w:id="28"/>
      <w:bookmarkEnd w:id="29"/>
      <w:r>
        <w:rPr>
          <w:rFonts w:ascii="宋体" w:hAnsi="宋体" w:eastAsia="宋体" w:cs="宋体"/>
          <w:color w:val="auto"/>
          <w:sz w:val="24"/>
          <w:szCs w:val="24"/>
          <w:lang w:val="zh-TW"/>
        </w:rPr>
        <w:t>本项目有可能作为银校合作项目。详见第四章项目需求。</w:t>
      </w:r>
    </w:p>
    <w:bookmarkEnd w:id="30"/>
    <w:bookmarkEnd w:id="31"/>
    <w:p w14:paraId="7CB5D611">
      <w:pPr>
        <w:pStyle w:val="425"/>
        <w:widowControl/>
        <w:spacing w:line="360" w:lineRule="auto"/>
        <w:ind w:firstLine="480"/>
        <w:rPr>
          <w:rFonts w:hint="default" w:ascii="宋体" w:hAnsi="宋体" w:eastAsia="宋体" w:cs="宋体"/>
          <w:color w:val="auto"/>
          <w:sz w:val="24"/>
          <w:szCs w:val="24"/>
          <w:lang w:val="zh-TW"/>
        </w:rPr>
      </w:pPr>
      <w:r>
        <w:rPr>
          <w:rFonts w:ascii="宋体" w:hAnsi="宋体" w:eastAsia="宋体" w:cs="宋体"/>
          <w:color w:val="auto"/>
          <w:sz w:val="24"/>
          <w:szCs w:val="24"/>
          <w:lang w:val="zh-TW"/>
        </w:rPr>
        <w:t>7、</w:t>
      </w:r>
      <w:bookmarkStart w:id="32" w:name="OLE_LINK50"/>
      <w:bookmarkStart w:id="33" w:name="OLE_LINK54"/>
      <w:bookmarkStart w:id="34" w:name="OLE_LINK51"/>
      <w:r>
        <w:rPr>
          <w:rFonts w:ascii="宋体" w:hAnsi="宋体" w:eastAsia="宋体" w:cs="宋体"/>
          <w:color w:val="auto"/>
          <w:sz w:val="24"/>
          <w:szCs w:val="24"/>
          <w:lang w:val="zh-TW"/>
        </w:rPr>
        <w:t>质保要求：</w:t>
      </w:r>
      <w:bookmarkEnd w:id="32"/>
      <w:bookmarkEnd w:id="33"/>
      <w:bookmarkEnd w:id="34"/>
      <w:r>
        <w:rPr>
          <w:rFonts w:ascii="宋体" w:hAnsi="宋体" w:eastAsia="宋体" w:cs="宋体"/>
          <w:color w:val="auto"/>
          <w:sz w:val="24"/>
          <w:szCs w:val="24"/>
          <w:lang w:val="zh-TW"/>
        </w:rPr>
        <w:t>质保期不少于5年，质保期内提供7×24小时电话、网络等远程支持服务及上门维护支持服务，包括技术支持、日常巡检、故障排除、系统升级、功能后期细微优化或改进。</w:t>
      </w:r>
    </w:p>
    <w:p w14:paraId="7A7D285F">
      <w:pPr>
        <w:pStyle w:val="425"/>
        <w:widowControl/>
        <w:spacing w:line="360" w:lineRule="auto"/>
        <w:ind w:firstLine="480"/>
        <w:rPr>
          <w:rFonts w:hint="default" w:ascii="宋体" w:hAnsi="宋体" w:eastAsia="宋体" w:cs="宋体"/>
          <w:color w:val="auto"/>
          <w:sz w:val="24"/>
          <w:szCs w:val="24"/>
          <w:lang w:val="zh-TW"/>
        </w:rPr>
      </w:pPr>
      <w:r>
        <w:rPr>
          <w:rFonts w:ascii="宋体" w:hAnsi="宋体" w:eastAsia="宋体" w:cs="宋体"/>
          <w:color w:val="auto"/>
          <w:sz w:val="24"/>
          <w:szCs w:val="24"/>
          <w:lang w:val="zh-TW"/>
        </w:rPr>
        <w:t>8、服务期限：计划于2026年8月份安装部署成功</w:t>
      </w:r>
    </w:p>
    <w:p w14:paraId="66E249C7">
      <w:pPr>
        <w:pStyle w:val="425"/>
        <w:widowControl/>
        <w:spacing w:line="360" w:lineRule="auto"/>
        <w:ind w:firstLine="480"/>
        <w:rPr>
          <w:rFonts w:hint="default" w:ascii="宋体" w:hAnsi="宋体" w:eastAsia="宋体" w:cs="宋体"/>
          <w:color w:val="auto"/>
          <w:sz w:val="24"/>
          <w:szCs w:val="24"/>
          <w:lang w:val="zh-TW"/>
        </w:rPr>
      </w:pPr>
      <w:r>
        <w:rPr>
          <w:rFonts w:ascii="宋体" w:hAnsi="宋体" w:eastAsia="宋体" w:cs="宋体"/>
          <w:color w:val="auto"/>
          <w:sz w:val="24"/>
          <w:szCs w:val="24"/>
          <w:lang w:val="zh-TW"/>
        </w:rPr>
        <w:t>9、项目地点：采购人指定地点</w:t>
      </w:r>
    </w:p>
    <w:p w14:paraId="12353E06">
      <w:pPr>
        <w:pStyle w:val="425"/>
        <w:widowControl/>
        <w:spacing w:line="360" w:lineRule="auto"/>
        <w:ind w:firstLine="480"/>
        <w:rPr>
          <w:rFonts w:hint="default" w:ascii="宋体" w:hAnsi="宋体" w:eastAsia="宋体" w:cs="宋体"/>
          <w:color w:val="auto"/>
          <w:sz w:val="24"/>
          <w:szCs w:val="24"/>
          <w:lang w:val="zh-TW"/>
        </w:rPr>
      </w:pPr>
      <w:r>
        <w:rPr>
          <w:rFonts w:ascii="宋体" w:hAnsi="宋体" w:eastAsia="宋体" w:cs="宋体"/>
          <w:color w:val="auto"/>
          <w:sz w:val="24"/>
          <w:szCs w:val="24"/>
          <w:lang w:val="zh-TW"/>
        </w:rPr>
        <w:t>10、质量标准：</w:t>
      </w:r>
      <w:bookmarkStart w:id="35" w:name="OLE_LINK52"/>
      <w:r>
        <w:rPr>
          <w:rFonts w:ascii="宋体" w:hAnsi="宋体" w:eastAsia="宋体" w:cs="宋体"/>
          <w:color w:val="auto"/>
          <w:sz w:val="24"/>
          <w:szCs w:val="24"/>
          <w:lang w:val="zh-TW"/>
        </w:rPr>
        <w:t>符合国家质量验收标准及采购人要求</w:t>
      </w:r>
      <w:bookmarkEnd w:id="35"/>
    </w:p>
    <w:p w14:paraId="1F9920C8">
      <w:pPr>
        <w:pStyle w:val="425"/>
        <w:widowControl/>
        <w:spacing w:line="360" w:lineRule="auto"/>
        <w:ind w:firstLine="480"/>
        <w:rPr>
          <w:rFonts w:hint="default" w:ascii="宋体" w:hAnsi="宋体" w:eastAsia="宋体" w:cs="宋体"/>
          <w:color w:val="auto"/>
          <w:sz w:val="24"/>
          <w:szCs w:val="24"/>
          <w:lang w:val="zh-TW"/>
        </w:rPr>
      </w:pPr>
      <w:r>
        <w:rPr>
          <w:rFonts w:ascii="宋体" w:hAnsi="宋体" w:eastAsia="宋体" w:cs="宋体"/>
          <w:color w:val="auto"/>
          <w:sz w:val="24"/>
          <w:szCs w:val="24"/>
          <w:lang w:val="zh-TW"/>
        </w:rPr>
        <w:t>11、本项目（是/否）接受联合体：否。</w:t>
      </w:r>
    </w:p>
    <w:p w14:paraId="508B5FC3">
      <w:pPr>
        <w:pStyle w:val="425"/>
        <w:widowControl/>
        <w:spacing w:line="360" w:lineRule="auto"/>
        <w:ind w:firstLine="482"/>
        <w:rPr>
          <w:rFonts w:hint="default" w:ascii="宋体" w:hAnsi="宋体" w:eastAsia="宋体" w:cs="宋体"/>
          <w:b/>
          <w:color w:val="auto"/>
          <w:sz w:val="24"/>
          <w:szCs w:val="24"/>
        </w:rPr>
      </w:pPr>
      <w:r>
        <w:rPr>
          <w:rFonts w:ascii="宋体" w:hAnsi="宋体" w:eastAsia="宋体" w:cs="宋体"/>
          <w:b/>
          <w:color w:val="auto"/>
          <w:sz w:val="24"/>
          <w:szCs w:val="24"/>
        </w:rPr>
        <w:t>二、供应商的资格要求</w:t>
      </w:r>
    </w:p>
    <w:p w14:paraId="0DE5A425">
      <w:pPr>
        <w:spacing w:line="360" w:lineRule="auto"/>
        <w:ind w:firstLine="480" w:firstLineChars="200"/>
        <w:rPr>
          <w:rFonts w:ascii="宋体" w:hAnsi="宋体" w:cs="宋体"/>
          <w:sz w:val="24"/>
          <w:szCs w:val="24"/>
        </w:rPr>
      </w:pPr>
      <w:bookmarkStart w:id="36" w:name="OLE_LINK29"/>
      <w:r>
        <w:rPr>
          <w:rFonts w:hint="eastAsia" w:ascii="宋体" w:hAnsi="宋体" w:cs="宋体"/>
          <w:sz w:val="24"/>
          <w:szCs w:val="24"/>
        </w:rPr>
        <w:t>1、</w:t>
      </w:r>
      <w:bookmarkStart w:id="37" w:name="OLE_LINK18"/>
      <w:r>
        <w:rPr>
          <w:rFonts w:hint="eastAsia" w:ascii="宋体" w:hAnsi="宋体" w:cs="宋体"/>
          <w:sz w:val="24"/>
          <w:szCs w:val="24"/>
        </w:rPr>
        <w:t>具有独立承担民事责任的能力（提供法人或者其他组织的营业执照）</w:t>
      </w:r>
      <w:bookmarkEnd w:id="37"/>
      <w:r>
        <w:rPr>
          <w:rFonts w:hint="eastAsia" w:ascii="宋体" w:hAnsi="宋体" w:cs="宋体"/>
          <w:sz w:val="24"/>
          <w:szCs w:val="24"/>
        </w:rPr>
        <w:t>；</w:t>
      </w:r>
    </w:p>
    <w:p w14:paraId="3DD6CCEC">
      <w:pPr>
        <w:spacing w:line="360" w:lineRule="auto"/>
        <w:ind w:firstLine="480" w:firstLineChars="200"/>
        <w:rPr>
          <w:rFonts w:ascii="宋体" w:hAnsi="宋体" w:cs="宋体"/>
          <w:sz w:val="24"/>
          <w:szCs w:val="24"/>
        </w:rPr>
      </w:pPr>
      <w:r>
        <w:rPr>
          <w:rFonts w:hint="eastAsia" w:ascii="宋体" w:hAnsi="宋体" w:cs="宋体"/>
          <w:sz w:val="24"/>
          <w:szCs w:val="24"/>
        </w:rPr>
        <w:t>2、</w:t>
      </w:r>
      <w:bookmarkStart w:id="38" w:name="OLE_LINK24"/>
      <w:bookmarkStart w:id="39" w:name="OLE_LINK22"/>
      <w:r>
        <w:rPr>
          <w:rFonts w:hint="eastAsia" w:ascii="宋体" w:hAnsi="宋体" w:cs="宋体"/>
          <w:sz w:val="24"/>
          <w:szCs w:val="24"/>
        </w:rPr>
        <w:t>具有良好的商业信誉和健全的财务会计制度（提供2025年度经审计的财务状况报告）</w:t>
      </w:r>
      <w:bookmarkEnd w:id="38"/>
      <w:bookmarkEnd w:id="39"/>
      <w:r>
        <w:rPr>
          <w:rFonts w:hint="eastAsia" w:ascii="宋体" w:hAnsi="宋体" w:cs="宋体"/>
          <w:sz w:val="24"/>
          <w:szCs w:val="24"/>
        </w:rPr>
        <w:t>；</w:t>
      </w:r>
    </w:p>
    <w:p w14:paraId="7B8B8F21">
      <w:pPr>
        <w:spacing w:line="360" w:lineRule="auto"/>
        <w:ind w:firstLine="480" w:firstLineChars="200"/>
        <w:rPr>
          <w:rFonts w:ascii="宋体" w:hAnsi="宋体" w:cs="宋体"/>
          <w:sz w:val="24"/>
          <w:szCs w:val="24"/>
        </w:rPr>
      </w:pPr>
      <w:r>
        <w:rPr>
          <w:rFonts w:hint="eastAsia" w:ascii="宋体" w:hAnsi="宋体" w:cs="宋体"/>
          <w:sz w:val="24"/>
          <w:szCs w:val="24"/>
        </w:rPr>
        <w:t>3、</w:t>
      </w:r>
      <w:bookmarkStart w:id="40" w:name="OLE_LINK26"/>
      <w:bookmarkStart w:id="41" w:name="OLE_LINK41"/>
      <w:bookmarkStart w:id="42" w:name="OLE_LINK27"/>
      <w:r>
        <w:rPr>
          <w:rFonts w:hint="eastAsia" w:ascii="宋体" w:hAnsi="宋体" w:cs="宋体"/>
          <w:sz w:val="24"/>
          <w:szCs w:val="24"/>
        </w:rPr>
        <w:t>有依法缴纳税收和社会保障资金的良好记录（提供提交投标文件截止时间前半年内至少一个月依法缴纳税收及缴纳社会保障资金的证明材料。投标人依法享受缓缴、免缴税收、社会保障资金的提供证明材料）</w:t>
      </w:r>
      <w:bookmarkEnd w:id="40"/>
      <w:bookmarkEnd w:id="41"/>
      <w:bookmarkEnd w:id="42"/>
      <w:r>
        <w:rPr>
          <w:rFonts w:hint="eastAsia" w:ascii="宋体" w:hAnsi="宋体" w:cs="宋体"/>
          <w:sz w:val="24"/>
          <w:szCs w:val="24"/>
        </w:rPr>
        <w:t>；</w:t>
      </w:r>
    </w:p>
    <w:p w14:paraId="33FEE20B">
      <w:pPr>
        <w:spacing w:line="360" w:lineRule="auto"/>
        <w:ind w:firstLine="480" w:firstLineChars="200"/>
        <w:rPr>
          <w:rFonts w:ascii="宋体" w:hAnsi="宋体" w:cs="宋体"/>
          <w:sz w:val="24"/>
          <w:szCs w:val="24"/>
        </w:rPr>
      </w:pPr>
      <w:r>
        <w:rPr>
          <w:rFonts w:hint="eastAsia" w:ascii="宋体" w:hAnsi="宋体" w:cs="宋体"/>
          <w:sz w:val="24"/>
          <w:szCs w:val="24"/>
        </w:rPr>
        <w:t>4、</w:t>
      </w:r>
      <w:bookmarkStart w:id="43" w:name="OLE_LINK42"/>
      <w:bookmarkStart w:id="44" w:name="OLE_LINK30"/>
      <w:bookmarkStart w:id="45" w:name="OLE_LINK28"/>
      <w:r>
        <w:rPr>
          <w:rFonts w:hint="eastAsia" w:ascii="宋体" w:hAnsi="宋体" w:cs="宋体"/>
          <w:sz w:val="24"/>
          <w:szCs w:val="24"/>
        </w:rPr>
        <w:t>参加招标活动前三年内，在经营活动中没有重大违法记录（提供承诺书）</w:t>
      </w:r>
      <w:bookmarkEnd w:id="43"/>
      <w:bookmarkEnd w:id="44"/>
      <w:bookmarkEnd w:id="45"/>
      <w:r>
        <w:rPr>
          <w:rFonts w:hint="eastAsia" w:ascii="宋体" w:hAnsi="宋体" w:cs="宋体"/>
          <w:sz w:val="24"/>
          <w:szCs w:val="24"/>
        </w:rPr>
        <w:t>；</w:t>
      </w:r>
    </w:p>
    <w:p w14:paraId="54329FFA">
      <w:pPr>
        <w:spacing w:line="360" w:lineRule="auto"/>
        <w:ind w:firstLine="480" w:firstLineChars="200"/>
        <w:rPr>
          <w:rFonts w:ascii="宋体" w:hAnsi="宋体" w:cs="宋体"/>
          <w:sz w:val="24"/>
          <w:szCs w:val="24"/>
        </w:rPr>
      </w:pPr>
      <w:r>
        <w:rPr>
          <w:rFonts w:hint="eastAsia" w:ascii="宋体" w:hAnsi="宋体" w:cs="宋体"/>
          <w:sz w:val="24"/>
          <w:szCs w:val="24"/>
        </w:rPr>
        <w:t>5、法律、行政法规规定的其他条件；</w:t>
      </w:r>
    </w:p>
    <w:p w14:paraId="35302DCF">
      <w:pPr>
        <w:spacing w:line="360" w:lineRule="auto"/>
        <w:ind w:firstLine="480" w:firstLineChars="200"/>
        <w:rPr>
          <w:rFonts w:ascii="宋体" w:hAnsi="宋体" w:cs="宋体"/>
          <w:sz w:val="24"/>
          <w:szCs w:val="24"/>
        </w:rPr>
      </w:pPr>
      <w:r>
        <w:rPr>
          <w:rFonts w:hint="eastAsia" w:ascii="宋体" w:hAnsi="宋体" w:cs="宋体"/>
          <w:sz w:val="24"/>
          <w:szCs w:val="24"/>
        </w:rPr>
        <w:t>6、本项目拒绝下述投标人参加本次采购活动：</w:t>
      </w:r>
    </w:p>
    <w:p w14:paraId="145A3EEF">
      <w:pPr>
        <w:spacing w:line="360" w:lineRule="auto"/>
        <w:ind w:firstLine="480" w:firstLineChars="200"/>
        <w:rPr>
          <w:rFonts w:ascii="宋体" w:hAnsi="宋体" w:cs="宋体"/>
          <w:sz w:val="24"/>
          <w:szCs w:val="24"/>
        </w:rPr>
      </w:pPr>
      <w:r>
        <w:rPr>
          <w:rFonts w:hint="eastAsia" w:ascii="宋体" w:hAnsi="宋体" w:cs="宋体"/>
          <w:sz w:val="24"/>
          <w:szCs w:val="24"/>
        </w:rPr>
        <w:t>(1）</w:t>
      </w:r>
      <w:bookmarkStart w:id="46" w:name="OLE_LINK62"/>
      <w:bookmarkStart w:id="47" w:name="OLE_LINK43"/>
      <w:r>
        <w:rPr>
          <w:rFonts w:hint="eastAsia" w:ascii="宋体" w:hAnsi="宋体" w:cs="宋体"/>
          <w:sz w:val="24"/>
          <w:szCs w:val="24"/>
        </w:rPr>
        <w:t>投标人单位负责人为同一人或者存在直接控股、管理关系的不同投标人，不得参加同一标包应答或者未划分标包的同一采购项目应答</w:t>
      </w:r>
      <w:bookmarkEnd w:id="46"/>
      <w:bookmarkEnd w:id="47"/>
      <w:r>
        <w:rPr>
          <w:rFonts w:hint="eastAsia" w:ascii="宋体" w:hAnsi="宋体" w:cs="宋体"/>
          <w:sz w:val="24"/>
          <w:szCs w:val="24"/>
        </w:rPr>
        <w:t>。</w:t>
      </w:r>
    </w:p>
    <w:p w14:paraId="652D1D68">
      <w:pPr>
        <w:spacing w:line="360" w:lineRule="auto"/>
        <w:ind w:firstLine="480" w:firstLineChars="200"/>
        <w:rPr>
          <w:rFonts w:ascii="宋体" w:hAnsi="宋体" w:cs="宋体"/>
          <w:sz w:val="24"/>
          <w:szCs w:val="24"/>
        </w:rPr>
      </w:pPr>
      <w:r>
        <w:rPr>
          <w:rFonts w:hint="eastAsia" w:ascii="宋体" w:hAnsi="宋体" w:cs="宋体"/>
          <w:sz w:val="24"/>
          <w:szCs w:val="24"/>
        </w:rPr>
        <w:t>(2）</w:t>
      </w:r>
      <w:bookmarkStart w:id="48" w:name="OLE_LINK63"/>
      <w:r>
        <w:rPr>
          <w:rFonts w:hint="eastAsia" w:ascii="宋体" w:hAnsi="宋体" w:cs="宋体"/>
          <w:sz w:val="24"/>
          <w:szCs w:val="24"/>
        </w:rPr>
        <w:t>投标人在“信用中国”网站（http://www.creditchina.gov.cn/）中被列入失信被执行人名单，不得参加投标</w:t>
      </w:r>
      <w:bookmarkEnd w:id="48"/>
      <w:r>
        <w:rPr>
          <w:rFonts w:hint="eastAsia" w:ascii="宋体" w:hAnsi="宋体" w:cs="宋体"/>
          <w:sz w:val="24"/>
          <w:szCs w:val="24"/>
        </w:rPr>
        <w:t>。</w:t>
      </w:r>
    </w:p>
    <w:bookmarkEnd w:id="36"/>
    <w:p w14:paraId="0ECDFCAB">
      <w:pPr>
        <w:pStyle w:val="425"/>
        <w:widowControl/>
        <w:spacing w:line="360" w:lineRule="auto"/>
        <w:ind w:firstLine="482"/>
        <w:rPr>
          <w:rFonts w:hint="default" w:ascii="宋体" w:hAnsi="宋体" w:eastAsia="宋体" w:cs="宋体"/>
          <w:b/>
          <w:color w:val="auto"/>
          <w:sz w:val="24"/>
          <w:szCs w:val="24"/>
        </w:rPr>
      </w:pPr>
      <w:r>
        <w:rPr>
          <w:rFonts w:ascii="宋体" w:hAnsi="宋体" w:eastAsia="宋体" w:cs="宋体"/>
          <w:b/>
          <w:color w:val="auto"/>
          <w:sz w:val="24"/>
          <w:szCs w:val="24"/>
        </w:rPr>
        <w:t>三、获取采购文件</w:t>
      </w:r>
    </w:p>
    <w:p w14:paraId="0F62F674">
      <w:pPr>
        <w:spacing w:line="360" w:lineRule="auto"/>
        <w:ind w:firstLine="540"/>
        <w:rPr>
          <w:rFonts w:ascii="宋体" w:hAnsi="宋体" w:cs="宋体"/>
          <w:sz w:val="24"/>
          <w:szCs w:val="24"/>
        </w:rPr>
      </w:pPr>
      <w:r>
        <w:rPr>
          <w:rFonts w:hint="eastAsia" w:ascii="宋体" w:hAnsi="宋体" w:cs="宋体"/>
          <w:sz w:val="24"/>
          <w:szCs w:val="24"/>
        </w:rPr>
        <w:t xml:space="preserve">1、获取时间：从 </w:t>
      </w:r>
      <w:r>
        <w:rPr>
          <w:rFonts w:hint="eastAsia" w:ascii="宋体" w:hAnsi="宋体" w:cs="宋体"/>
          <w:sz w:val="24"/>
          <w:szCs w:val="24"/>
          <w:u w:val="single"/>
        </w:rPr>
        <w:t>2026年6月8日</w:t>
      </w:r>
      <w:r>
        <w:rPr>
          <w:rFonts w:hint="eastAsia" w:ascii="宋体" w:hAnsi="宋体" w:cs="宋体"/>
          <w:sz w:val="24"/>
          <w:szCs w:val="24"/>
        </w:rPr>
        <w:t>09时00分到</w:t>
      </w:r>
      <w:r>
        <w:rPr>
          <w:rFonts w:hint="eastAsia" w:ascii="宋体" w:hAnsi="宋体" w:cs="宋体"/>
          <w:sz w:val="24"/>
          <w:szCs w:val="24"/>
          <w:u w:val="single"/>
        </w:rPr>
        <w:t>2026年6月10日</w:t>
      </w:r>
      <w:r>
        <w:rPr>
          <w:rFonts w:hint="eastAsia" w:ascii="宋体" w:hAnsi="宋体" w:cs="宋体"/>
          <w:sz w:val="24"/>
          <w:szCs w:val="24"/>
        </w:rPr>
        <w:t>17时00分；</w:t>
      </w:r>
    </w:p>
    <w:p w14:paraId="62957ACF">
      <w:pPr>
        <w:spacing w:line="360" w:lineRule="auto"/>
        <w:ind w:firstLine="540"/>
        <w:rPr>
          <w:rFonts w:ascii="宋体" w:hAnsi="宋体" w:cs="宋体"/>
          <w:sz w:val="24"/>
          <w:szCs w:val="24"/>
        </w:rPr>
      </w:pPr>
      <w:r>
        <w:rPr>
          <w:rFonts w:hint="eastAsia" w:ascii="宋体" w:hAnsi="宋体" w:cs="宋体"/>
          <w:sz w:val="24"/>
          <w:szCs w:val="24"/>
        </w:rPr>
        <w:t>2、招标文件费300元，售后不退。文件费电汇至如下账户：南京审计大学金审学院，开户银行名称：工商银行栖霞支行，开户银行账号：4301018619100066683，汇款请注明投标项目名称：智慧财务系统采购。招标文件见公告附件。</w:t>
      </w:r>
    </w:p>
    <w:p w14:paraId="1B9539A8">
      <w:pPr>
        <w:spacing w:line="360" w:lineRule="auto"/>
        <w:ind w:firstLine="540"/>
        <w:rPr>
          <w:rFonts w:ascii="宋体" w:hAnsi="宋体" w:cs="宋体"/>
          <w:sz w:val="24"/>
          <w:szCs w:val="24"/>
        </w:rPr>
      </w:pPr>
      <w:r>
        <w:rPr>
          <w:rFonts w:hint="eastAsia" w:ascii="宋体" w:hAnsi="宋体" w:cs="宋体"/>
          <w:sz w:val="24"/>
          <w:szCs w:val="24"/>
        </w:rPr>
        <w:t>3、报名资料：包括投标申请表、营业执照、法人委托书、文件费转账截图发送至邮箱。本项目只接受网上报名，</w:t>
      </w:r>
      <w:r>
        <w:fldChar w:fldCharType="begin"/>
      </w:r>
      <w:r>
        <w:instrText xml:space="preserve"> HYPERLINK "mailto:受理报名邮箱为zbb_naujsc@163.com，报名联系人：张老师025-85780003" </w:instrText>
      </w:r>
      <w:r>
        <w:fldChar w:fldCharType="separate"/>
      </w:r>
      <w:r>
        <w:rPr>
          <w:rFonts w:hint="eastAsia" w:ascii="宋体" w:hAnsi="宋体" w:cs="宋体"/>
          <w:sz w:val="24"/>
          <w:szCs w:val="24"/>
        </w:rPr>
        <w:t>受理报名邮箱为zbb_naujsc@163.com，报名联系人：张老师025-85780003</w:t>
      </w:r>
      <w:r>
        <w:rPr>
          <w:rFonts w:hint="eastAsia" w:ascii="宋体" w:hAnsi="宋体" w:cs="宋体"/>
          <w:sz w:val="24"/>
          <w:szCs w:val="24"/>
        </w:rPr>
        <w:fldChar w:fldCharType="end"/>
      </w:r>
    </w:p>
    <w:p w14:paraId="46D1AF6F">
      <w:pPr>
        <w:spacing w:line="360" w:lineRule="auto"/>
        <w:ind w:firstLine="540"/>
        <w:rPr>
          <w:rFonts w:ascii="宋体" w:hAnsi="宋体" w:cs="宋体"/>
          <w:sz w:val="24"/>
          <w:szCs w:val="24"/>
        </w:rPr>
      </w:pPr>
      <w:r>
        <w:rPr>
          <w:rFonts w:hint="eastAsia" w:ascii="宋体" w:hAnsi="宋体" w:cs="宋体"/>
          <w:sz w:val="24"/>
          <w:szCs w:val="24"/>
        </w:rPr>
        <w:t>邮件正文为投标申请表（格式如下表，自制）；</w:t>
      </w:r>
    </w:p>
    <w:tbl>
      <w:tblPr>
        <w:tblStyle w:val="64"/>
        <w:tblpPr w:leftFromText="180" w:rightFromText="180" w:vertAnchor="text" w:horzAnchor="margin" w:tblpX="442" w:tblpY="17"/>
        <w:tblOverlap w:val="never"/>
        <w:tblW w:w="9222" w:type="dxa"/>
        <w:tblInd w:w="0" w:type="dxa"/>
        <w:tblLayout w:type="fixed"/>
        <w:tblCellMar>
          <w:top w:w="0" w:type="dxa"/>
          <w:left w:w="0" w:type="dxa"/>
          <w:bottom w:w="0" w:type="dxa"/>
          <w:right w:w="0" w:type="dxa"/>
        </w:tblCellMar>
      </w:tblPr>
      <w:tblGrid>
        <w:gridCol w:w="2677"/>
        <w:gridCol w:w="1990"/>
        <w:gridCol w:w="1677"/>
        <w:gridCol w:w="2878"/>
      </w:tblGrid>
      <w:tr w14:paraId="4CED081D">
        <w:tblPrEx>
          <w:tblCellMar>
            <w:top w:w="0" w:type="dxa"/>
            <w:left w:w="0" w:type="dxa"/>
            <w:bottom w:w="0" w:type="dxa"/>
            <w:right w:w="0" w:type="dxa"/>
          </w:tblCellMar>
        </w:tblPrEx>
        <w:trPr>
          <w:trHeight w:val="400" w:hRule="atLeast"/>
        </w:trPr>
        <w:tc>
          <w:tcPr>
            <w:tcW w:w="9222"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440126">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投标申请表</w:t>
            </w:r>
          </w:p>
        </w:tc>
      </w:tr>
      <w:tr w14:paraId="4007ADE0">
        <w:tblPrEx>
          <w:tblCellMar>
            <w:top w:w="0" w:type="dxa"/>
            <w:left w:w="0" w:type="dxa"/>
            <w:bottom w:w="0" w:type="dxa"/>
            <w:right w:w="0" w:type="dxa"/>
          </w:tblCellMar>
        </w:tblPrEx>
        <w:trPr>
          <w:trHeight w:val="171" w:hRule="atLeast"/>
        </w:trPr>
        <w:tc>
          <w:tcPr>
            <w:tcW w:w="26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5D1D5F">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项目名称</w:t>
            </w:r>
          </w:p>
        </w:tc>
        <w:tc>
          <w:tcPr>
            <w:tcW w:w="654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3CA15F">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 </w:t>
            </w:r>
          </w:p>
        </w:tc>
      </w:tr>
      <w:tr w14:paraId="3C265424">
        <w:tblPrEx>
          <w:tblCellMar>
            <w:top w:w="0" w:type="dxa"/>
            <w:left w:w="0" w:type="dxa"/>
            <w:bottom w:w="0" w:type="dxa"/>
            <w:right w:w="0" w:type="dxa"/>
          </w:tblCellMar>
        </w:tblPrEx>
        <w:trPr>
          <w:trHeight w:val="432" w:hRule="atLeast"/>
        </w:trPr>
        <w:tc>
          <w:tcPr>
            <w:tcW w:w="26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A64797">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投标单位</w:t>
            </w:r>
          </w:p>
        </w:tc>
        <w:tc>
          <w:tcPr>
            <w:tcW w:w="654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151DD5">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 </w:t>
            </w:r>
          </w:p>
        </w:tc>
      </w:tr>
      <w:tr w14:paraId="74D28BFB">
        <w:tblPrEx>
          <w:tblCellMar>
            <w:top w:w="0" w:type="dxa"/>
            <w:left w:w="0" w:type="dxa"/>
            <w:bottom w:w="0" w:type="dxa"/>
            <w:right w:w="0" w:type="dxa"/>
          </w:tblCellMar>
        </w:tblPrEx>
        <w:trPr>
          <w:trHeight w:val="424" w:hRule="atLeast"/>
        </w:trPr>
        <w:tc>
          <w:tcPr>
            <w:tcW w:w="26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76AD44">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统一社会信用代码</w:t>
            </w:r>
          </w:p>
        </w:tc>
        <w:tc>
          <w:tcPr>
            <w:tcW w:w="654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E1C86B">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 </w:t>
            </w:r>
          </w:p>
        </w:tc>
      </w:tr>
      <w:tr w14:paraId="71EEC91B">
        <w:tblPrEx>
          <w:tblCellMar>
            <w:top w:w="0" w:type="dxa"/>
            <w:left w:w="0" w:type="dxa"/>
            <w:bottom w:w="0" w:type="dxa"/>
            <w:right w:w="0" w:type="dxa"/>
          </w:tblCellMar>
        </w:tblPrEx>
        <w:trPr>
          <w:trHeight w:val="432" w:hRule="atLeast"/>
        </w:trPr>
        <w:tc>
          <w:tcPr>
            <w:tcW w:w="26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511797">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授权委托代理人</w:t>
            </w:r>
          </w:p>
        </w:tc>
        <w:tc>
          <w:tcPr>
            <w:tcW w:w="19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02DBFD">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 </w:t>
            </w:r>
          </w:p>
        </w:tc>
        <w:tc>
          <w:tcPr>
            <w:tcW w:w="16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BE5479">
            <w:pPr>
              <w:pStyle w:val="58"/>
              <w:spacing w:beforeAutospacing="0" w:afterAutospacing="0" w:line="480" w:lineRule="exact"/>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联系手机号</w:t>
            </w:r>
          </w:p>
        </w:tc>
        <w:tc>
          <w:tcPr>
            <w:tcW w:w="28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BB7E72">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 </w:t>
            </w:r>
          </w:p>
        </w:tc>
      </w:tr>
      <w:tr w14:paraId="3B117A7B">
        <w:tblPrEx>
          <w:tblCellMar>
            <w:top w:w="0" w:type="dxa"/>
            <w:left w:w="0" w:type="dxa"/>
            <w:bottom w:w="0" w:type="dxa"/>
            <w:right w:w="0" w:type="dxa"/>
          </w:tblCellMar>
        </w:tblPrEx>
        <w:trPr>
          <w:trHeight w:val="424" w:hRule="atLeast"/>
        </w:trPr>
        <w:tc>
          <w:tcPr>
            <w:tcW w:w="26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0A60E03">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单位法人</w:t>
            </w:r>
          </w:p>
        </w:tc>
        <w:tc>
          <w:tcPr>
            <w:tcW w:w="19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747703">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 </w:t>
            </w:r>
          </w:p>
        </w:tc>
        <w:tc>
          <w:tcPr>
            <w:tcW w:w="16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06738C">
            <w:pPr>
              <w:pStyle w:val="58"/>
              <w:spacing w:beforeAutospacing="0" w:afterAutospacing="0" w:line="480" w:lineRule="exact"/>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联系手机号</w:t>
            </w:r>
          </w:p>
        </w:tc>
        <w:tc>
          <w:tcPr>
            <w:tcW w:w="28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8BAA4F">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 </w:t>
            </w:r>
          </w:p>
        </w:tc>
      </w:tr>
      <w:tr w14:paraId="5C577DCA">
        <w:tblPrEx>
          <w:tblCellMar>
            <w:top w:w="0" w:type="dxa"/>
            <w:left w:w="0" w:type="dxa"/>
            <w:bottom w:w="0" w:type="dxa"/>
            <w:right w:w="0" w:type="dxa"/>
          </w:tblCellMar>
        </w:tblPrEx>
        <w:trPr>
          <w:trHeight w:val="432" w:hRule="atLeast"/>
        </w:trPr>
        <w:tc>
          <w:tcPr>
            <w:tcW w:w="26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949C19">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联系电子邮箱</w:t>
            </w:r>
          </w:p>
        </w:tc>
        <w:tc>
          <w:tcPr>
            <w:tcW w:w="654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3535A2">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 </w:t>
            </w:r>
          </w:p>
        </w:tc>
      </w:tr>
      <w:tr w14:paraId="0DE0E819">
        <w:tblPrEx>
          <w:tblCellMar>
            <w:top w:w="0" w:type="dxa"/>
            <w:left w:w="0" w:type="dxa"/>
            <w:bottom w:w="0" w:type="dxa"/>
            <w:right w:w="0" w:type="dxa"/>
          </w:tblCellMar>
        </w:tblPrEx>
        <w:trPr>
          <w:trHeight w:val="432" w:hRule="atLeast"/>
        </w:trPr>
        <w:tc>
          <w:tcPr>
            <w:tcW w:w="267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81847A">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申请时间</w:t>
            </w:r>
          </w:p>
        </w:tc>
        <w:tc>
          <w:tcPr>
            <w:tcW w:w="654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C40AD9">
            <w:pPr>
              <w:pStyle w:val="58"/>
              <w:spacing w:beforeAutospacing="0" w:afterAutospacing="0" w:line="480" w:lineRule="exact"/>
              <w:ind w:firstLine="420" w:firstLineChars="20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 </w:t>
            </w:r>
          </w:p>
        </w:tc>
      </w:tr>
    </w:tbl>
    <w:p w14:paraId="0834C294">
      <w:pPr>
        <w:pStyle w:val="425"/>
        <w:widowControl/>
        <w:spacing w:line="360" w:lineRule="auto"/>
        <w:ind w:firstLine="482"/>
        <w:rPr>
          <w:rFonts w:hint="default" w:ascii="宋体" w:hAnsi="宋体" w:eastAsia="宋体" w:cs="宋体"/>
          <w:b/>
          <w:color w:val="auto"/>
          <w:sz w:val="24"/>
          <w:szCs w:val="24"/>
        </w:rPr>
      </w:pPr>
      <w:r>
        <w:rPr>
          <w:rFonts w:ascii="宋体" w:hAnsi="宋体" w:eastAsia="宋体" w:cs="宋体"/>
          <w:b/>
          <w:color w:val="auto"/>
          <w:sz w:val="24"/>
          <w:szCs w:val="24"/>
        </w:rPr>
        <w:t>四、响应文件提交</w:t>
      </w:r>
    </w:p>
    <w:p w14:paraId="6B1963C8">
      <w:pPr>
        <w:pStyle w:val="425"/>
        <w:widowControl/>
        <w:spacing w:line="360" w:lineRule="auto"/>
        <w:ind w:firstLine="480"/>
        <w:rPr>
          <w:rFonts w:hint="default" w:ascii="宋体" w:hAnsi="宋体" w:eastAsia="宋体"/>
          <w:color w:val="auto"/>
          <w:sz w:val="24"/>
          <w:szCs w:val="24"/>
        </w:rPr>
      </w:pPr>
      <w:r>
        <w:rPr>
          <w:rFonts w:ascii="宋体" w:hAnsi="宋体" w:eastAsia="宋体"/>
          <w:color w:val="auto"/>
          <w:sz w:val="24"/>
          <w:szCs w:val="24"/>
        </w:rPr>
        <w:t>截止时间：</w:t>
      </w:r>
      <w:r>
        <w:rPr>
          <w:rFonts w:ascii="宋体" w:hAnsi="宋体" w:cs="宋体"/>
          <w:color w:val="auto"/>
          <w:sz w:val="24"/>
          <w:szCs w:val="24"/>
          <w:u w:val="single"/>
        </w:rPr>
        <w:t>202</w:t>
      </w:r>
      <w:r>
        <w:rPr>
          <w:rFonts w:hint="default" w:ascii="宋体" w:hAnsi="宋体" w:cs="宋体"/>
          <w:color w:val="auto"/>
          <w:sz w:val="24"/>
          <w:szCs w:val="24"/>
          <w:u w:val="single"/>
        </w:rPr>
        <w:t>6</w:t>
      </w:r>
      <w:r>
        <w:rPr>
          <w:rFonts w:ascii="宋体" w:hAnsi="宋体" w:eastAsia="宋体" w:cs="宋体"/>
          <w:color w:val="auto"/>
          <w:sz w:val="24"/>
          <w:szCs w:val="24"/>
          <w:u w:val="single"/>
        </w:rPr>
        <w:t>年</w:t>
      </w:r>
      <w:r>
        <w:rPr>
          <w:rFonts w:ascii="宋体" w:hAnsi="宋体" w:cs="宋体"/>
          <w:color w:val="auto"/>
          <w:sz w:val="24"/>
          <w:szCs w:val="24"/>
          <w:u w:val="single"/>
        </w:rPr>
        <w:t>6月17日</w:t>
      </w:r>
      <w:r>
        <w:rPr>
          <w:rFonts w:ascii="宋体" w:hAnsi="宋体" w:eastAsia="宋体" w:cs="宋体"/>
          <w:color w:val="auto"/>
          <w:sz w:val="24"/>
          <w:szCs w:val="24"/>
        </w:rPr>
        <w:t>上午</w:t>
      </w:r>
      <w:r>
        <w:rPr>
          <w:rFonts w:hint="default" w:ascii="宋体" w:hAnsi="宋体" w:eastAsia="宋体" w:cs="宋体"/>
          <w:color w:val="auto"/>
          <w:sz w:val="24"/>
          <w:szCs w:val="24"/>
        </w:rPr>
        <w:t>09</w:t>
      </w:r>
      <w:r>
        <w:rPr>
          <w:rFonts w:ascii="宋体" w:hAnsi="宋体" w:eastAsia="宋体"/>
          <w:color w:val="auto"/>
          <w:sz w:val="24"/>
          <w:szCs w:val="24"/>
        </w:rPr>
        <w:t>:</w:t>
      </w:r>
      <w:r>
        <w:rPr>
          <w:rFonts w:hint="default" w:ascii="宋体" w:hAnsi="宋体" w:eastAsia="宋体"/>
          <w:color w:val="auto"/>
          <w:sz w:val="24"/>
          <w:szCs w:val="24"/>
        </w:rPr>
        <w:t>3</w:t>
      </w:r>
      <w:r>
        <w:rPr>
          <w:rFonts w:ascii="宋体" w:hAnsi="宋体" w:eastAsia="宋体"/>
          <w:color w:val="auto"/>
          <w:sz w:val="24"/>
          <w:szCs w:val="24"/>
        </w:rPr>
        <w:t>0</w:t>
      </w:r>
      <w:r>
        <w:rPr>
          <w:rFonts w:ascii="宋体" w:hAnsi="宋体" w:eastAsia="宋体" w:cs="宋体"/>
          <w:color w:val="auto"/>
          <w:sz w:val="24"/>
          <w:szCs w:val="24"/>
        </w:rPr>
        <w:t>（北京时间）</w:t>
      </w:r>
    </w:p>
    <w:p w14:paraId="4815DC74">
      <w:pPr>
        <w:pStyle w:val="425"/>
        <w:widowControl/>
        <w:spacing w:line="360" w:lineRule="auto"/>
        <w:ind w:firstLine="480"/>
        <w:rPr>
          <w:rFonts w:hint="default" w:ascii="宋体" w:hAnsi="宋体" w:eastAsia="宋体" w:cs="宋体"/>
          <w:color w:val="auto"/>
          <w:sz w:val="24"/>
          <w:szCs w:val="24"/>
        </w:rPr>
      </w:pPr>
      <w:r>
        <w:rPr>
          <w:rFonts w:ascii="宋体" w:hAnsi="宋体" w:eastAsia="宋体" w:cs="宋体"/>
          <w:color w:val="auto"/>
          <w:sz w:val="24"/>
          <w:szCs w:val="24"/>
        </w:rPr>
        <w:t>地点：</w:t>
      </w:r>
      <w:bookmarkStart w:id="49" w:name="OLE_LINK19"/>
      <w:bookmarkStart w:id="50" w:name="OLE_LINK20"/>
      <w:r>
        <w:rPr>
          <w:rFonts w:ascii="宋体" w:hAnsi="宋体" w:eastAsia="宋体" w:cs="宋体"/>
          <w:color w:val="auto"/>
          <w:sz w:val="24"/>
          <w:szCs w:val="24"/>
        </w:rPr>
        <w:t>南京市栖霞区仙林大道100号南京审计大学金审学院行政楼一楼会议室（如修改开标地点，招标人另行通知）</w:t>
      </w:r>
      <w:bookmarkEnd w:id="49"/>
      <w:bookmarkEnd w:id="50"/>
    </w:p>
    <w:p w14:paraId="09B71E18">
      <w:pPr>
        <w:pStyle w:val="425"/>
        <w:widowControl/>
        <w:spacing w:line="360" w:lineRule="auto"/>
        <w:ind w:firstLine="480"/>
        <w:rPr>
          <w:rFonts w:hint="default" w:ascii="宋体" w:hAnsi="宋体" w:eastAsia="宋体"/>
          <w:color w:val="auto"/>
          <w:sz w:val="24"/>
          <w:szCs w:val="24"/>
        </w:rPr>
      </w:pPr>
      <w:r>
        <w:rPr>
          <w:rFonts w:ascii="宋体" w:hAnsi="宋体" w:eastAsia="宋体"/>
          <w:color w:val="auto"/>
          <w:sz w:val="24"/>
          <w:szCs w:val="24"/>
        </w:rPr>
        <w:t>供应商进校前需按学校管理要求提前报备，具体方式：</w:t>
      </w:r>
    </w:p>
    <w:p w14:paraId="510A2AED">
      <w:pPr>
        <w:pStyle w:val="425"/>
        <w:widowControl/>
        <w:spacing w:line="360" w:lineRule="auto"/>
        <w:ind w:firstLine="480"/>
        <w:rPr>
          <w:rFonts w:hint="default" w:ascii="宋体" w:hAnsi="宋体" w:eastAsia="宋体"/>
          <w:color w:val="auto"/>
          <w:sz w:val="24"/>
          <w:szCs w:val="24"/>
        </w:rPr>
      </w:pPr>
      <w:r>
        <w:rPr>
          <w:rFonts w:ascii="宋体" w:hAnsi="宋体" w:eastAsia="宋体"/>
          <w:color w:val="auto"/>
          <w:sz w:val="24"/>
          <w:szCs w:val="24"/>
        </w:rPr>
        <w:t>在学校官网首页点击右上角“访客申请”，根据提示要求扫描二维码填写相关信息</w:t>
      </w:r>
    </w:p>
    <w:p w14:paraId="0E1DA662">
      <w:pPr>
        <w:pStyle w:val="425"/>
        <w:widowControl/>
        <w:spacing w:line="360" w:lineRule="auto"/>
        <w:ind w:firstLine="480"/>
        <w:rPr>
          <w:rFonts w:hint="default" w:ascii="宋体" w:hAnsi="宋体" w:eastAsia="宋体"/>
          <w:color w:val="auto"/>
          <w:sz w:val="24"/>
          <w:szCs w:val="24"/>
        </w:rPr>
      </w:pPr>
      <w:r>
        <w:rPr>
          <w:rFonts w:ascii="宋体" w:hAnsi="宋体" w:eastAsia="宋体"/>
          <w:color w:val="auto"/>
          <w:sz w:val="24"/>
          <w:szCs w:val="24"/>
        </w:rPr>
        <w:t>投标联系人：招投标管理中心 孙道亮 03070106  电话13851688522</w:t>
      </w:r>
    </w:p>
    <w:p w14:paraId="2284C0BD">
      <w:pPr>
        <w:pStyle w:val="425"/>
        <w:widowControl/>
        <w:spacing w:line="360" w:lineRule="auto"/>
        <w:ind w:firstLine="482"/>
        <w:rPr>
          <w:rFonts w:hint="default" w:ascii="宋体" w:hAnsi="宋体" w:eastAsia="宋体" w:cs="宋体"/>
          <w:b/>
          <w:color w:val="auto"/>
          <w:sz w:val="24"/>
          <w:szCs w:val="24"/>
        </w:rPr>
      </w:pPr>
      <w:r>
        <w:rPr>
          <w:rFonts w:ascii="宋体" w:hAnsi="宋体" w:eastAsia="宋体" w:cs="宋体"/>
          <w:b/>
          <w:color w:val="auto"/>
          <w:sz w:val="24"/>
          <w:szCs w:val="24"/>
        </w:rPr>
        <w:t>五、开启</w:t>
      </w:r>
    </w:p>
    <w:p w14:paraId="59E2E2E8">
      <w:pPr>
        <w:pStyle w:val="425"/>
        <w:widowControl/>
        <w:spacing w:line="360" w:lineRule="auto"/>
        <w:ind w:firstLine="480"/>
        <w:rPr>
          <w:rFonts w:hint="default" w:ascii="宋体" w:hAnsi="宋体" w:eastAsia="宋体"/>
          <w:color w:val="auto"/>
          <w:sz w:val="24"/>
          <w:szCs w:val="24"/>
        </w:rPr>
      </w:pPr>
      <w:r>
        <w:rPr>
          <w:rFonts w:ascii="宋体" w:hAnsi="宋体" w:eastAsia="宋体"/>
          <w:color w:val="auto"/>
          <w:sz w:val="24"/>
          <w:szCs w:val="24"/>
        </w:rPr>
        <w:t>时间：</w:t>
      </w:r>
      <w:r>
        <w:rPr>
          <w:rFonts w:ascii="宋体" w:hAnsi="宋体" w:cs="宋体"/>
          <w:color w:val="auto"/>
          <w:sz w:val="24"/>
          <w:szCs w:val="24"/>
          <w:u w:val="single"/>
        </w:rPr>
        <w:t>202</w:t>
      </w:r>
      <w:r>
        <w:rPr>
          <w:rFonts w:hint="default" w:ascii="宋体" w:hAnsi="宋体" w:cs="宋体"/>
          <w:color w:val="auto"/>
          <w:sz w:val="24"/>
          <w:szCs w:val="24"/>
          <w:u w:val="single"/>
        </w:rPr>
        <w:t>6</w:t>
      </w:r>
      <w:r>
        <w:rPr>
          <w:rFonts w:ascii="宋体" w:hAnsi="宋体" w:eastAsia="宋体" w:cs="宋体"/>
          <w:color w:val="auto"/>
          <w:sz w:val="24"/>
          <w:szCs w:val="24"/>
          <w:u w:val="single"/>
        </w:rPr>
        <w:t>年</w:t>
      </w:r>
      <w:r>
        <w:rPr>
          <w:rFonts w:ascii="宋体" w:hAnsi="宋体" w:cs="宋体"/>
          <w:color w:val="auto"/>
          <w:sz w:val="24"/>
          <w:szCs w:val="24"/>
          <w:u w:val="single"/>
        </w:rPr>
        <w:t>6月17日</w:t>
      </w:r>
      <w:r>
        <w:rPr>
          <w:rFonts w:ascii="宋体" w:hAnsi="宋体" w:eastAsia="宋体" w:cs="宋体"/>
          <w:color w:val="auto"/>
          <w:sz w:val="24"/>
          <w:szCs w:val="24"/>
        </w:rPr>
        <w:t>上午</w:t>
      </w:r>
      <w:r>
        <w:rPr>
          <w:rFonts w:hint="default" w:ascii="宋体" w:hAnsi="宋体" w:eastAsia="宋体" w:cs="宋体"/>
          <w:color w:val="auto"/>
          <w:sz w:val="24"/>
          <w:szCs w:val="24"/>
        </w:rPr>
        <w:t>09</w:t>
      </w:r>
      <w:r>
        <w:rPr>
          <w:rFonts w:ascii="宋体" w:hAnsi="宋体" w:eastAsia="宋体"/>
          <w:color w:val="auto"/>
          <w:sz w:val="24"/>
          <w:szCs w:val="24"/>
        </w:rPr>
        <w:t>:</w:t>
      </w:r>
      <w:r>
        <w:rPr>
          <w:rFonts w:hint="default" w:ascii="宋体" w:hAnsi="宋体" w:eastAsia="宋体"/>
          <w:color w:val="auto"/>
          <w:sz w:val="24"/>
          <w:szCs w:val="24"/>
        </w:rPr>
        <w:t>3</w:t>
      </w:r>
      <w:r>
        <w:rPr>
          <w:rFonts w:ascii="宋体" w:hAnsi="宋体" w:eastAsia="宋体"/>
          <w:color w:val="auto"/>
          <w:sz w:val="24"/>
          <w:szCs w:val="24"/>
        </w:rPr>
        <w:t>0</w:t>
      </w:r>
      <w:r>
        <w:rPr>
          <w:rFonts w:ascii="宋体" w:hAnsi="宋体" w:eastAsia="宋体" w:cs="宋体"/>
          <w:color w:val="auto"/>
          <w:sz w:val="24"/>
          <w:szCs w:val="24"/>
        </w:rPr>
        <w:t>（北京时间）</w:t>
      </w:r>
    </w:p>
    <w:p w14:paraId="7027CCB9">
      <w:pPr>
        <w:pStyle w:val="425"/>
        <w:widowControl/>
        <w:spacing w:line="360" w:lineRule="auto"/>
        <w:ind w:firstLine="480"/>
        <w:rPr>
          <w:rFonts w:hint="default" w:ascii="宋体" w:hAnsi="宋体" w:eastAsia="宋体"/>
          <w:color w:val="auto"/>
          <w:sz w:val="24"/>
          <w:szCs w:val="24"/>
        </w:rPr>
      </w:pPr>
      <w:r>
        <w:rPr>
          <w:rFonts w:ascii="宋体" w:hAnsi="宋体" w:eastAsia="宋体" w:cs="宋体"/>
          <w:color w:val="auto"/>
          <w:sz w:val="24"/>
          <w:szCs w:val="24"/>
        </w:rPr>
        <w:t>地点：南京市栖霞区仙林大道100号南京审计大学金审学院行政楼一楼会议室（如修改开标地点，招标人另行通知）</w:t>
      </w:r>
    </w:p>
    <w:p w14:paraId="41E5CB5F">
      <w:pPr>
        <w:pStyle w:val="425"/>
        <w:widowControl/>
        <w:spacing w:line="360" w:lineRule="auto"/>
        <w:ind w:firstLine="482"/>
        <w:rPr>
          <w:rFonts w:hint="default" w:ascii="宋体" w:hAnsi="宋体" w:eastAsia="宋体" w:cs="宋体"/>
          <w:b/>
          <w:color w:val="auto"/>
          <w:sz w:val="24"/>
          <w:szCs w:val="24"/>
        </w:rPr>
      </w:pPr>
      <w:r>
        <w:rPr>
          <w:rFonts w:ascii="宋体" w:hAnsi="宋体" w:eastAsia="宋体" w:cs="宋体"/>
          <w:b/>
          <w:color w:val="auto"/>
          <w:sz w:val="24"/>
          <w:szCs w:val="24"/>
        </w:rPr>
        <w:t>六、公告期限</w:t>
      </w:r>
    </w:p>
    <w:p w14:paraId="27B7C039">
      <w:pPr>
        <w:pStyle w:val="425"/>
        <w:widowControl/>
        <w:spacing w:line="360" w:lineRule="auto"/>
        <w:ind w:firstLine="480"/>
        <w:rPr>
          <w:rFonts w:hint="default" w:ascii="宋体" w:hAnsi="宋体" w:eastAsia="宋体"/>
          <w:color w:val="auto"/>
          <w:sz w:val="24"/>
          <w:szCs w:val="24"/>
        </w:rPr>
      </w:pPr>
      <w:r>
        <w:rPr>
          <w:rFonts w:ascii="宋体" w:hAnsi="宋体" w:eastAsia="宋体" w:cs="宋体"/>
          <w:color w:val="auto"/>
          <w:sz w:val="24"/>
          <w:szCs w:val="24"/>
        </w:rPr>
        <w:t>自本公告发布之日起</w:t>
      </w:r>
      <w:r>
        <w:rPr>
          <w:rFonts w:ascii="宋体" w:hAnsi="宋体" w:eastAsia="宋体"/>
          <w:color w:val="auto"/>
          <w:sz w:val="24"/>
          <w:szCs w:val="24"/>
        </w:rPr>
        <w:t>3</w:t>
      </w:r>
      <w:r>
        <w:rPr>
          <w:rFonts w:ascii="宋体" w:hAnsi="宋体" w:eastAsia="宋体" w:cs="宋体"/>
          <w:color w:val="auto"/>
          <w:sz w:val="24"/>
          <w:szCs w:val="24"/>
        </w:rPr>
        <w:t>个工作日。</w:t>
      </w:r>
    </w:p>
    <w:p w14:paraId="4F5613D6">
      <w:pPr>
        <w:pStyle w:val="425"/>
        <w:widowControl/>
        <w:spacing w:line="360" w:lineRule="auto"/>
        <w:ind w:firstLine="482"/>
        <w:rPr>
          <w:rFonts w:hint="default" w:ascii="宋体" w:hAnsi="宋体" w:eastAsia="宋体" w:cs="宋体"/>
          <w:b/>
          <w:color w:val="auto"/>
          <w:sz w:val="24"/>
          <w:szCs w:val="24"/>
        </w:rPr>
      </w:pPr>
      <w:r>
        <w:rPr>
          <w:rFonts w:ascii="宋体" w:hAnsi="宋体" w:eastAsia="宋体" w:cs="宋体"/>
          <w:b/>
          <w:color w:val="auto"/>
          <w:sz w:val="24"/>
          <w:szCs w:val="24"/>
        </w:rPr>
        <w:t>七、其他补充事宜</w:t>
      </w:r>
    </w:p>
    <w:p w14:paraId="3443DD5F">
      <w:pPr>
        <w:pStyle w:val="425"/>
        <w:widowControl/>
        <w:spacing w:line="360" w:lineRule="auto"/>
        <w:ind w:firstLine="480"/>
        <w:jc w:val="left"/>
        <w:rPr>
          <w:rFonts w:hint="default" w:ascii="宋体" w:hAnsi="宋体" w:eastAsia="宋体" w:cs="宋体"/>
          <w:color w:val="auto"/>
          <w:sz w:val="24"/>
          <w:szCs w:val="24"/>
        </w:rPr>
      </w:pPr>
      <w:r>
        <w:rPr>
          <w:rFonts w:ascii="宋体" w:hAnsi="宋体" w:eastAsia="宋体" w:cs="宋体"/>
          <w:color w:val="auto"/>
          <w:sz w:val="24"/>
          <w:szCs w:val="24"/>
        </w:rPr>
        <w:t>1、本公告在</w:t>
      </w:r>
      <w:r>
        <w:rPr>
          <w:rFonts w:ascii="宋体" w:hAnsi="宋体" w:eastAsia="宋体" w:cs="宋体"/>
          <w:color w:val="auto"/>
          <w:sz w:val="24"/>
          <w:szCs w:val="24"/>
          <w:u w:val="single"/>
        </w:rPr>
        <w:t>南京审计大学金审学院官网</w:t>
      </w:r>
      <w:r>
        <w:rPr>
          <w:rFonts w:ascii="宋体" w:hAnsi="宋体" w:eastAsia="宋体" w:cs="宋体"/>
          <w:color w:val="auto"/>
          <w:sz w:val="24"/>
          <w:szCs w:val="24"/>
        </w:rPr>
        <w:t>发布。</w:t>
      </w:r>
    </w:p>
    <w:p w14:paraId="2A905D2E">
      <w:pPr>
        <w:pStyle w:val="425"/>
        <w:widowControl/>
        <w:spacing w:line="360" w:lineRule="auto"/>
        <w:ind w:firstLine="480"/>
        <w:rPr>
          <w:rFonts w:hint="default" w:ascii="宋体" w:hAnsi="宋体" w:eastAsia="宋体" w:cs="宋体"/>
          <w:color w:val="auto"/>
          <w:sz w:val="24"/>
          <w:szCs w:val="24"/>
        </w:rPr>
      </w:pPr>
      <w:r>
        <w:rPr>
          <w:rFonts w:hint="default" w:ascii="宋体" w:hAnsi="宋体" w:eastAsia="宋体" w:cs="宋体"/>
          <w:color w:val="auto"/>
          <w:sz w:val="24"/>
          <w:szCs w:val="24"/>
        </w:rPr>
        <w:t>2</w:t>
      </w:r>
      <w:r>
        <w:rPr>
          <w:rFonts w:ascii="宋体" w:hAnsi="宋体" w:eastAsia="宋体" w:cs="宋体"/>
          <w:color w:val="auto"/>
          <w:sz w:val="24"/>
          <w:szCs w:val="24"/>
        </w:rPr>
        <w:t>、以上公告内容若有变更将通过原采购公告媒体发布，供应商应在磋商截止时间前关注原采购公告媒体有关本采购项目有无变更公告。如未及时关注本网站公告导致误投标，其责任由供应商自行承担。</w:t>
      </w:r>
    </w:p>
    <w:p w14:paraId="7F53751D">
      <w:pPr>
        <w:pStyle w:val="425"/>
        <w:widowControl/>
        <w:spacing w:line="360" w:lineRule="auto"/>
        <w:ind w:firstLine="480"/>
        <w:rPr>
          <w:rFonts w:hint="default" w:ascii="宋体" w:hAnsi="宋体" w:eastAsia="宋体" w:cs="宋体"/>
          <w:color w:val="auto"/>
          <w:sz w:val="24"/>
          <w:szCs w:val="24"/>
        </w:rPr>
      </w:pPr>
      <w:r>
        <w:rPr>
          <w:rFonts w:hint="default" w:ascii="宋体" w:hAnsi="宋体" w:eastAsia="宋体" w:cs="宋体"/>
          <w:color w:val="auto"/>
          <w:sz w:val="24"/>
          <w:szCs w:val="24"/>
        </w:rPr>
        <w:t>3</w:t>
      </w:r>
      <w:r>
        <w:rPr>
          <w:rFonts w:ascii="宋体" w:hAnsi="宋体" w:eastAsia="宋体" w:cs="宋体"/>
          <w:color w:val="auto"/>
          <w:sz w:val="24"/>
          <w:szCs w:val="24"/>
        </w:rPr>
        <w:t>、请各供应商领取本次采购文件后，认真阅读各项内容，进行必要的磋商准备，按采购文件的要求详细填写和编制响应文件，并按以上确定的时间、地点准时参加磋商。</w:t>
      </w:r>
    </w:p>
    <w:p w14:paraId="3FC0DDB6">
      <w:pPr>
        <w:spacing w:line="360" w:lineRule="auto"/>
        <w:ind w:firstLine="480" w:firstLineChars="200"/>
        <w:rPr>
          <w:sz w:val="24"/>
          <w:szCs w:val="24"/>
        </w:rPr>
      </w:pPr>
      <w:r>
        <w:rPr>
          <w:sz w:val="24"/>
          <w:szCs w:val="24"/>
        </w:rPr>
        <w:t>4、</w:t>
      </w:r>
      <w:r>
        <w:rPr>
          <w:rFonts w:hint="eastAsia"/>
          <w:sz w:val="24"/>
          <w:szCs w:val="24"/>
        </w:rPr>
        <w:t>潜在投标人的单位名称必须与企业资质证书上的单位名称一致，否则，视为资格审查不合格；</w:t>
      </w:r>
    </w:p>
    <w:p w14:paraId="6506527A">
      <w:pPr>
        <w:spacing w:line="360" w:lineRule="auto"/>
        <w:ind w:firstLine="480" w:firstLineChars="200"/>
        <w:rPr>
          <w:sz w:val="24"/>
          <w:szCs w:val="24"/>
        </w:rPr>
      </w:pPr>
      <w:r>
        <w:rPr>
          <w:sz w:val="24"/>
          <w:szCs w:val="24"/>
        </w:rPr>
        <w:t>5、</w:t>
      </w:r>
      <w:r>
        <w:rPr>
          <w:rFonts w:hint="eastAsia"/>
          <w:sz w:val="24"/>
          <w:szCs w:val="24"/>
        </w:rPr>
        <w:t>开标时，投标人法定代表人或委托代理人须在投标截止时间前到达开标现场，并递交本人有效身份证原件，代理人还需携带授权委托书原件及</w:t>
      </w:r>
      <w:r>
        <w:rPr>
          <w:rFonts w:hint="eastAsia" w:ascii="宋体" w:hAnsi="宋体"/>
          <w:sz w:val="24"/>
          <w:szCs w:val="24"/>
        </w:rPr>
        <w:t>需提供社保机构出具的投标人为其交纳的近半年（2025年11月至2026年4月）的养老保险金缴费证明材料并加盖社保中心章或社保中心参保缴费证明电子专用章（具有可验证的二维码或验证码），若属企业退休人员、现役军人等无法提供养老保险金缴费证明，必须出具相关证明材料</w:t>
      </w:r>
      <w:r>
        <w:rPr>
          <w:rFonts w:hint="eastAsia"/>
          <w:sz w:val="24"/>
          <w:szCs w:val="24"/>
        </w:rPr>
        <w:t>，供招标人核查，若上述人员未能按时到场参加开标会议或人员虽到场但未完整递交上述原件的或所递交原件无效的，均视为投标人自动放弃本标段投标权，招标人将拒绝接受其投标书。</w:t>
      </w:r>
    </w:p>
    <w:p w14:paraId="3E96F779">
      <w:pPr>
        <w:spacing w:line="360" w:lineRule="auto"/>
        <w:ind w:firstLine="480" w:firstLineChars="200"/>
        <w:rPr>
          <w:sz w:val="24"/>
          <w:szCs w:val="24"/>
        </w:rPr>
      </w:pPr>
      <w:r>
        <w:rPr>
          <w:sz w:val="24"/>
          <w:szCs w:val="24"/>
        </w:rPr>
        <w:t>6、其余详见磋商文件。</w:t>
      </w:r>
    </w:p>
    <w:p w14:paraId="40A0BF0A">
      <w:pPr>
        <w:pStyle w:val="425"/>
        <w:widowControl/>
        <w:spacing w:line="360" w:lineRule="auto"/>
        <w:ind w:firstLine="480"/>
        <w:rPr>
          <w:rFonts w:hint="default" w:ascii="宋体" w:hAnsi="宋体" w:eastAsia="宋体" w:cs="宋体"/>
          <w:color w:val="auto"/>
          <w:sz w:val="24"/>
          <w:szCs w:val="24"/>
        </w:rPr>
      </w:pPr>
    </w:p>
    <w:p w14:paraId="71CDB38D">
      <w:pPr>
        <w:pStyle w:val="425"/>
        <w:widowControl/>
        <w:spacing w:line="360" w:lineRule="auto"/>
        <w:ind w:firstLine="482"/>
        <w:rPr>
          <w:rFonts w:hint="default" w:ascii="宋体" w:hAnsi="宋体" w:eastAsia="宋体" w:cs="宋体"/>
          <w:b/>
          <w:color w:val="auto"/>
          <w:sz w:val="24"/>
          <w:szCs w:val="24"/>
        </w:rPr>
      </w:pPr>
      <w:r>
        <w:rPr>
          <w:rFonts w:ascii="宋体" w:hAnsi="宋体" w:eastAsia="宋体" w:cs="宋体"/>
          <w:b/>
          <w:color w:val="auto"/>
          <w:sz w:val="24"/>
          <w:szCs w:val="24"/>
        </w:rPr>
        <w:t>八、凡对本次采购提出询问，请按以下方式联系</w:t>
      </w:r>
    </w:p>
    <w:bookmarkEnd w:id="15"/>
    <w:p w14:paraId="7B6E2F04">
      <w:pPr>
        <w:spacing w:line="360" w:lineRule="auto"/>
        <w:ind w:firstLine="480" w:firstLineChars="200"/>
        <w:jc w:val="left"/>
        <w:rPr>
          <w:rFonts w:ascii="宋体" w:cs="宋体"/>
          <w:sz w:val="24"/>
          <w:szCs w:val="24"/>
        </w:rPr>
      </w:pPr>
      <w:r>
        <w:rPr>
          <w:rFonts w:hint="eastAsia" w:ascii="宋体" w:hAnsi="宋体" w:cs="宋体"/>
          <w:sz w:val="24"/>
          <w:szCs w:val="24"/>
        </w:rPr>
        <w:t>名称：南京审计大学金审学院</w:t>
      </w:r>
    </w:p>
    <w:p w14:paraId="4D0EA3F7">
      <w:pPr>
        <w:spacing w:line="360" w:lineRule="auto"/>
        <w:ind w:firstLine="480" w:firstLineChars="200"/>
        <w:jc w:val="left"/>
        <w:rPr>
          <w:rFonts w:ascii="宋体" w:cs="宋体"/>
          <w:sz w:val="24"/>
          <w:szCs w:val="24"/>
        </w:rPr>
      </w:pPr>
      <w:r>
        <w:rPr>
          <w:rFonts w:hint="eastAsia" w:ascii="宋体" w:hAnsi="宋体" w:cs="宋体"/>
          <w:sz w:val="24"/>
          <w:szCs w:val="24"/>
        </w:rPr>
        <w:t>地址：南京市栖霞区仙林大道100号</w:t>
      </w:r>
    </w:p>
    <w:p w14:paraId="45B509C8">
      <w:pPr>
        <w:spacing w:line="360" w:lineRule="auto"/>
        <w:ind w:firstLine="480" w:firstLineChars="200"/>
        <w:jc w:val="left"/>
        <w:rPr>
          <w:rFonts w:ascii="宋体" w:cs="宋体"/>
          <w:sz w:val="24"/>
          <w:szCs w:val="24"/>
        </w:rPr>
      </w:pPr>
      <w:bookmarkStart w:id="51" w:name="_Toc28359009"/>
      <w:bookmarkStart w:id="52" w:name="_Toc28359086"/>
      <w:r>
        <w:rPr>
          <w:rFonts w:hint="eastAsia" w:ascii="宋体" w:hAnsi="宋体" w:cs="宋体"/>
          <w:sz w:val="24"/>
          <w:szCs w:val="24"/>
        </w:rPr>
        <w:t>联系人：</w:t>
      </w:r>
      <w:r>
        <w:rPr>
          <w:rFonts w:hint="eastAsia" w:ascii="宋体" w:cs="宋体"/>
          <w:sz w:val="24"/>
          <w:szCs w:val="24"/>
        </w:rPr>
        <w:t>孙老师</w:t>
      </w:r>
    </w:p>
    <w:p w14:paraId="4D450955">
      <w:pPr>
        <w:spacing w:line="360" w:lineRule="auto"/>
        <w:ind w:firstLine="480" w:firstLineChars="200"/>
        <w:jc w:val="left"/>
      </w:pPr>
      <w:r>
        <w:rPr>
          <w:rFonts w:hint="eastAsia" w:ascii="宋体" w:hAnsi="宋体" w:cs="宋体"/>
          <w:sz w:val="24"/>
          <w:szCs w:val="24"/>
        </w:rPr>
        <w:t>联系方式：</w:t>
      </w:r>
      <w:bookmarkEnd w:id="10"/>
      <w:bookmarkEnd w:id="11"/>
      <w:bookmarkEnd w:id="16"/>
      <w:bookmarkEnd w:id="17"/>
      <w:bookmarkEnd w:id="51"/>
      <w:bookmarkEnd w:id="52"/>
      <w:r>
        <w:rPr>
          <w:rFonts w:hint="eastAsia" w:ascii="宋体" w:hAnsi="宋体" w:cs="宋体"/>
          <w:sz w:val="24"/>
          <w:szCs w:val="24"/>
        </w:rPr>
        <w:t>13851688522</w:t>
      </w:r>
    </w:p>
    <w:bookmarkEnd w:id="12"/>
    <w:bookmarkEnd w:id="13"/>
    <w:bookmarkEnd w:id="14"/>
    <w:bookmarkEnd w:id="18"/>
    <w:p w14:paraId="6C83ED40">
      <w:pPr>
        <w:pageBreakBefore/>
        <w:tabs>
          <w:tab w:val="center" w:pos="4567"/>
        </w:tabs>
        <w:spacing w:line="360" w:lineRule="auto"/>
        <w:jc w:val="center"/>
        <w:outlineLvl w:val="0"/>
        <w:rPr>
          <w:rFonts w:eastAsia="黑体"/>
          <w:bCs/>
          <w:sz w:val="36"/>
          <w:szCs w:val="36"/>
        </w:rPr>
      </w:pPr>
      <w:bookmarkStart w:id="53" w:name="_Toc115787246"/>
      <w:bookmarkStart w:id="54" w:name="_Toc155798102"/>
      <w:r>
        <w:rPr>
          <w:rFonts w:hint="eastAsia" w:eastAsia="黑体"/>
          <w:bCs/>
          <w:sz w:val="36"/>
          <w:szCs w:val="36"/>
        </w:rPr>
        <w:t>第二章</w:t>
      </w:r>
      <w:r>
        <w:rPr>
          <w:rFonts w:eastAsia="黑体"/>
          <w:bCs/>
          <w:sz w:val="36"/>
          <w:szCs w:val="36"/>
        </w:rPr>
        <w:t xml:space="preserve"> </w:t>
      </w:r>
      <w:r>
        <w:rPr>
          <w:rFonts w:hint="eastAsia" w:eastAsia="黑体"/>
          <w:bCs/>
          <w:sz w:val="36"/>
          <w:szCs w:val="36"/>
        </w:rPr>
        <w:t>竞争性磋商须知</w:t>
      </w:r>
      <w:bookmarkEnd w:id="53"/>
      <w:bookmarkEnd w:id="54"/>
    </w:p>
    <w:p w14:paraId="1C319541">
      <w:pPr>
        <w:pStyle w:val="5"/>
        <w:spacing w:line="360" w:lineRule="auto"/>
        <w:ind w:firstLine="0"/>
        <w:outlineLvl w:val="1"/>
      </w:pPr>
      <w:r>
        <w:rPr>
          <w:rFonts w:hint="eastAsia" w:ascii="宋体" w:hAnsi="宋体"/>
          <w:b/>
          <w:sz w:val="24"/>
          <w:szCs w:val="24"/>
        </w:rPr>
        <w:t>供应商须知前附表与正文内容相抵触的，以正文为准</w:t>
      </w:r>
      <w:r>
        <w:rPr>
          <w:rFonts w:hint="eastAsia" w:ascii="宋体" w:hAnsi="宋体"/>
          <w:sz w:val="24"/>
          <w:szCs w:val="24"/>
        </w:rPr>
        <w:t>。</w:t>
      </w:r>
    </w:p>
    <w:tbl>
      <w:tblPr>
        <w:tblStyle w:val="64"/>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898"/>
        <w:gridCol w:w="7032"/>
      </w:tblGrid>
      <w:tr w14:paraId="6552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3537B2C2">
            <w:pPr>
              <w:spacing w:line="360" w:lineRule="auto"/>
              <w:jc w:val="center"/>
              <w:rPr>
                <w:rFonts w:ascii="宋体" w:cs="宋体"/>
                <w:b/>
                <w:sz w:val="24"/>
                <w:szCs w:val="24"/>
              </w:rPr>
            </w:pPr>
            <w:bookmarkStart w:id="55" w:name="_Toc115787247"/>
            <w:r>
              <w:rPr>
                <w:rFonts w:hint="eastAsia" w:ascii="宋体" w:hAnsi="宋体" w:cs="宋体"/>
                <w:b/>
                <w:sz w:val="24"/>
                <w:szCs w:val="24"/>
              </w:rPr>
              <w:t>序号</w:t>
            </w:r>
          </w:p>
        </w:tc>
        <w:tc>
          <w:tcPr>
            <w:tcW w:w="1898" w:type="dxa"/>
            <w:vAlign w:val="center"/>
          </w:tcPr>
          <w:p w14:paraId="34D195A4">
            <w:pPr>
              <w:spacing w:line="360" w:lineRule="auto"/>
              <w:jc w:val="center"/>
              <w:rPr>
                <w:rFonts w:ascii="宋体" w:cs="宋体"/>
                <w:b/>
                <w:sz w:val="24"/>
                <w:szCs w:val="24"/>
              </w:rPr>
            </w:pPr>
            <w:r>
              <w:rPr>
                <w:rFonts w:hint="eastAsia" w:ascii="宋体" w:hAnsi="宋体" w:cs="宋体"/>
                <w:b/>
                <w:sz w:val="24"/>
                <w:szCs w:val="24"/>
              </w:rPr>
              <w:t>名称</w:t>
            </w:r>
          </w:p>
        </w:tc>
        <w:tc>
          <w:tcPr>
            <w:tcW w:w="7032" w:type="dxa"/>
            <w:vAlign w:val="center"/>
          </w:tcPr>
          <w:p w14:paraId="67669442">
            <w:pPr>
              <w:spacing w:line="360" w:lineRule="auto"/>
              <w:jc w:val="center"/>
              <w:rPr>
                <w:rFonts w:ascii="宋体" w:cs="宋体"/>
                <w:b/>
                <w:sz w:val="24"/>
                <w:szCs w:val="24"/>
              </w:rPr>
            </w:pPr>
            <w:r>
              <w:rPr>
                <w:rFonts w:hint="eastAsia" w:ascii="宋体" w:hAnsi="宋体" w:cs="宋体"/>
                <w:b/>
                <w:sz w:val="24"/>
                <w:szCs w:val="24"/>
              </w:rPr>
              <w:t>内容</w:t>
            </w:r>
          </w:p>
        </w:tc>
      </w:tr>
      <w:tr w14:paraId="6238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2EC8A15C">
            <w:pPr>
              <w:widowControl/>
              <w:spacing w:line="360" w:lineRule="auto"/>
              <w:jc w:val="center"/>
              <w:rPr>
                <w:rFonts w:ascii="宋体" w:cs="宋体"/>
                <w:sz w:val="24"/>
                <w:szCs w:val="24"/>
              </w:rPr>
            </w:pPr>
            <w:r>
              <w:rPr>
                <w:rFonts w:ascii="宋体" w:hAnsi="宋体" w:cs="宋体"/>
                <w:sz w:val="24"/>
                <w:szCs w:val="24"/>
              </w:rPr>
              <w:t>1</w:t>
            </w:r>
          </w:p>
        </w:tc>
        <w:tc>
          <w:tcPr>
            <w:tcW w:w="1898" w:type="dxa"/>
            <w:vAlign w:val="center"/>
          </w:tcPr>
          <w:p w14:paraId="61E30B81">
            <w:pPr>
              <w:widowControl/>
              <w:spacing w:line="360" w:lineRule="auto"/>
              <w:jc w:val="center"/>
              <w:rPr>
                <w:rFonts w:ascii="宋体" w:cs="宋体"/>
                <w:sz w:val="24"/>
                <w:szCs w:val="24"/>
              </w:rPr>
            </w:pPr>
            <w:r>
              <w:rPr>
                <w:rFonts w:hint="eastAsia" w:ascii="宋体" w:hAnsi="宋体" w:cs="宋体"/>
                <w:sz w:val="24"/>
                <w:szCs w:val="24"/>
              </w:rPr>
              <w:t>采购人</w:t>
            </w:r>
          </w:p>
        </w:tc>
        <w:tc>
          <w:tcPr>
            <w:tcW w:w="7032" w:type="dxa"/>
          </w:tcPr>
          <w:p w14:paraId="5E3D3FD5">
            <w:pPr>
              <w:widowControl/>
              <w:spacing w:line="360" w:lineRule="auto"/>
              <w:jc w:val="left"/>
              <w:rPr>
                <w:rFonts w:ascii="宋体" w:cs="宋体"/>
                <w:sz w:val="24"/>
                <w:szCs w:val="24"/>
              </w:rPr>
            </w:pPr>
            <w:r>
              <w:rPr>
                <w:rFonts w:hint="eastAsia" w:ascii="宋体" w:hAnsi="宋体" w:cs="宋体"/>
                <w:sz w:val="24"/>
                <w:szCs w:val="24"/>
              </w:rPr>
              <w:t>名</w:t>
            </w:r>
            <w:r>
              <w:rPr>
                <w:rFonts w:ascii="宋体" w:hAnsi="宋体" w:cs="宋体"/>
                <w:sz w:val="24"/>
                <w:szCs w:val="24"/>
              </w:rPr>
              <w:t xml:space="preserve">  </w:t>
            </w:r>
            <w:r>
              <w:rPr>
                <w:rFonts w:hint="eastAsia" w:ascii="宋体" w:hAnsi="宋体" w:cs="宋体"/>
                <w:sz w:val="24"/>
                <w:szCs w:val="24"/>
              </w:rPr>
              <w:t>称：南京审计大学金审学院</w:t>
            </w:r>
          </w:p>
          <w:p w14:paraId="6EC6C4C3">
            <w:pPr>
              <w:widowControl/>
              <w:spacing w:line="360" w:lineRule="auto"/>
              <w:jc w:val="left"/>
              <w:rPr>
                <w:rFonts w:ascii="宋体" w:hAnsi="宋体" w:cs="宋体"/>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址：南京市栖霞区仙林大道100号</w:t>
            </w:r>
          </w:p>
          <w:p w14:paraId="5A776CBE">
            <w:pPr>
              <w:widowControl/>
              <w:spacing w:line="360" w:lineRule="auto"/>
              <w:jc w:val="left"/>
              <w:rPr>
                <w:rFonts w:ascii="宋体" w:hAnsi="宋体" w:cs="宋体"/>
                <w:sz w:val="24"/>
                <w:szCs w:val="24"/>
              </w:rPr>
            </w:pPr>
            <w:r>
              <w:rPr>
                <w:rFonts w:hint="eastAsia" w:ascii="宋体" w:hAnsi="宋体" w:cs="宋体"/>
                <w:sz w:val="24"/>
                <w:szCs w:val="24"/>
              </w:rPr>
              <w:t>联系人：</w:t>
            </w:r>
            <w:r>
              <w:rPr>
                <w:rFonts w:hint="eastAsia" w:ascii="宋体" w:cs="宋体"/>
                <w:sz w:val="24"/>
                <w:szCs w:val="24"/>
              </w:rPr>
              <w:t>孙老师</w:t>
            </w:r>
          </w:p>
          <w:p w14:paraId="32939143">
            <w:pPr>
              <w:widowControl/>
              <w:spacing w:line="360" w:lineRule="auto"/>
              <w:jc w:val="left"/>
              <w:rPr>
                <w:rFonts w:ascii="宋体" w:cs="宋体"/>
                <w:sz w:val="24"/>
                <w:szCs w:val="24"/>
                <w:u w:val="single"/>
              </w:rPr>
            </w:pPr>
            <w:r>
              <w:rPr>
                <w:rFonts w:hint="eastAsia" w:ascii="宋体" w:hAnsi="宋体" w:cs="宋体"/>
                <w:sz w:val="24"/>
                <w:szCs w:val="24"/>
              </w:rPr>
              <w:t>联系方式：13851688522</w:t>
            </w:r>
          </w:p>
        </w:tc>
      </w:tr>
      <w:tr w14:paraId="50DF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87" w:type="dxa"/>
            <w:vAlign w:val="bottom"/>
          </w:tcPr>
          <w:p w14:paraId="2CD91DE5">
            <w:pPr>
              <w:widowControl/>
              <w:spacing w:line="360" w:lineRule="auto"/>
              <w:jc w:val="center"/>
              <w:rPr>
                <w:rFonts w:ascii="宋体" w:cs="宋体"/>
                <w:sz w:val="24"/>
                <w:szCs w:val="24"/>
              </w:rPr>
            </w:pPr>
            <w:r>
              <w:rPr>
                <w:rFonts w:hint="eastAsia" w:ascii="宋体" w:cs="宋体"/>
                <w:sz w:val="24"/>
                <w:szCs w:val="24"/>
              </w:rPr>
              <w:t>2</w:t>
            </w:r>
          </w:p>
        </w:tc>
        <w:tc>
          <w:tcPr>
            <w:tcW w:w="1898" w:type="dxa"/>
            <w:vAlign w:val="bottom"/>
          </w:tcPr>
          <w:p w14:paraId="205CB468">
            <w:pPr>
              <w:widowControl/>
              <w:spacing w:line="360" w:lineRule="auto"/>
              <w:jc w:val="center"/>
              <w:rPr>
                <w:rFonts w:ascii="宋体" w:cs="宋体"/>
                <w:sz w:val="24"/>
                <w:szCs w:val="24"/>
              </w:rPr>
            </w:pPr>
            <w:r>
              <w:rPr>
                <w:rFonts w:hint="eastAsia" w:ascii="宋体" w:hAnsi="宋体" w:cs="宋体"/>
                <w:sz w:val="24"/>
                <w:szCs w:val="24"/>
              </w:rPr>
              <w:t>采购项目名称</w:t>
            </w:r>
          </w:p>
        </w:tc>
        <w:tc>
          <w:tcPr>
            <w:tcW w:w="7032" w:type="dxa"/>
            <w:vAlign w:val="center"/>
          </w:tcPr>
          <w:p w14:paraId="1F81C7EF">
            <w:pPr>
              <w:widowControl/>
              <w:spacing w:line="360" w:lineRule="auto"/>
              <w:jc w:val="left"/>
              <w:rPr>
                <w:rFonts w:ascii="宋体" w:cs="宋体"/>
                <w:sz w:val="24"/>
                <w:szCs w:val="24"/>
              </w:rPr>
            </w:pPr>
            <w:r>
              <w:rPr>
                <w:rFonts w:ascii="宋体" w:hAnsi="宋体" w:cs="宋体"/>
                <w:sz w:val="24"/>
                <w:szCs w:val="24"/>
              </w:rPr>
              <w:t>金审学院智慧</w:t>
            </w:r>
            <w:r>
              <w:rPr>
                <w:rFonts w:hint="eastAsia" w:ascii="宋体" w:hAnsi="宋体" w:cs="宋体"/>
                <w:sz w:val="24"/>
                <w:szCs w:val="24"/>
                <w:lang w:val="zh-TW"/>
              </w:rPr>
              <w:t>财务</w:t>
            </w:r>
            <w:r>
              <w:rPr>
                <w:rFonts w:ascii="宋体" w:hAnsi="宋体" w:cs="宋体"/>
                <w:sz w:val="24"/>
                <w:szCs w:val="24"/>
                <w:lang w:val="zh-TW"/>
              </w:rPr>
              <w:t>系统采购项目</w:t>
            </w:r>
          </w:p>
        </w:tc>
      </w:tr>
      <w:tr w14:paraId="76B6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7" w:type="dxa"/>
            <w:vAlign w:val="bottom"/>
          </w:tcPr>
          <w:p w14:paraId="37B890C5">
            <w:pPr>
              <w:widowControl/>
              <w:spacing w:line="360" w:lineRule="auto"/>
              <w:jc w:val="center"/>
              <w:rPr>
                <w:rFonts w:ascii="宋体" w:cs="宋体"/>
                <w:sz w:val="24"/>
                <w:szCs w:val="24"/>
              </w:rPr>
            </w:pPr>
            <w:r>
              <w:rPr>
                <w:rFonts w:hint="eastAsia" w:ascii="宋体" w:hAnsi="宋体" w:cs="宋体"/>
                <w:sz w:val="24"/>
                <w:szCs w:val="24"/>
              </w:rPr>
              <w:t>3</w:t>
            </w:r>
          </w:p>
        </w:tc>
        <w:tc>
          <w:tcPr>
            <w:tcW w:w="1898" w:type="dxa"/>
            <w:vAlign w:val="bottom"/>
          </w:tcPr>
          <w:p w14:paraId="3E96B613">
            <w:pPr>
              <w:widowControl/>
              <w:spacing w:line="360" w:lineRule="auto"/>
              <w:jc w:val="center"/>
              <w:rPr>
                <w:rFonts w:ascii="宋体" w:cs="宋体"/>
                <w:sz w:val="24"/>
                <w:szCs w:val="24"/>
              </w:rPr>
            </w:pPr>
            <w:r>
              <w:rPr>
                <w:rFonts w:hint="eastAsia" w:ascii="宋体" w:hAnsi="宋体" w:cs="宋体"/>
                <w:sz w:val="24"/>
                <w:szCs w:val="24"/>
              </w:rPr>
              <w:t>资金来源</w:t>
            </w:r>
          </w:p>
        </w:tc>
        <w:tc>
          <w:tcPr>
            <w:tcW w:w="7032" w:type="dxa"/>
            <w:vAlign w:val="center"/>
          </w:tcPr>
          <w:p w14:paraId="36D3CEF2">
            <w:pPr>
              <w:widowControl/>
              <w:spacing w:line="360" w:lineRule="auto"/>
              <w:jc w:val="left"/>
              <w:rPr>
                <w:rFonts w:ascii="宋体" w:cs="宋体"/>
                <w:sz w:val="24"/>
                <w:szCs w:val="24"/>
              </w:rPr>
            </w:pPr>
            <w:r>
              <w:rPr>
                <w:rFonts w:hint="eastAsia" w:ascii="宋体" w:hAnsi="宋体" w:cs="宋体"/>
                <w:sz w:val="24"/>
                <w:szCs w:val="24"/>
              </w:rPr>
              <w:t>自筹资金（以使用银校合作资金）</w:t>
            </w:r>
          </w:p>
        </w:tc>
      </w:tr>
      <w:tr w14:paraId="7093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87" w:type="dxa"/>
            <w:vAlign w:val="center"/>
          </w:tcPr>
          <w:p w14:paraId="6067CAAD">
            <w:pPr>
              <w:widowControl/>
              <w:spacing w:line="360" w:lineRule="auto"/>
              <w:jc w:val="center"/>
              <w:rPr>
                <w:rFonts w:ascii="宋体" w:cs="宋体"/>
                <w:sz w:val="24"/>
                <w:szCs w:val="24"/>
              </w:rPr>
            </w:pPr>
            <w:r>
              <w:rPr>
                <w:rFonts w:hint="eastAsia" w:ascii="宋体" w:hAnsi="宋体" w:cs="宋体"/>
                <w:sz w:val="24"/>
                <w:szCs w:val="24"/>
              </w:rPr>
              <w:t>4</w:t>
            </w:r>
          </w:p>
        </w:tc>
        <w:tc>
          <w:tcPr>
            <w:tcW w:w="1898" w:type="dxa"/>
            <w:vAlign w:val="center"/>
          </w:tcPr>
          <w:p w14:paraId="08D73A86">
            <w:pPr>
              <w:widowControl/>
              <w:spacing w:line="360" w:lineRule="auto"/>
              <w:jc w:val="center"/>
              <w:rPr>
                <w:rFonts w:ascii="宋体" w:cs="宋体"/>
                <w:sz w:val="24"/>
                <w:szCs w:val="24"/>
              </w:rPr>
            </w:pPr>
            <w:r>
              <w:rPr>
                <w:rFonts w:hint="eastAsia" w:ascii="宋体" w:hAnsi="宋体" w:cs="宋体"/>
                <w:sz w:val="24"/>
                <w:szCs w:val="24"/>
              </w:rPr>
              <w:t>项目实施地点</w:t>
            </w:r>
          </w:p>
        </w:tc>
        <w:tc>
          <w:tcPr>
            <w:tcW w:w="7032" w:type="dxa"/>
            <w:vAlign w:val="center"/>
          </w:tcPr>
          <w:p w14:paraId="43ECDAD4">
            <w:pPr>
              <w:widowControl/>
              <w:spacing w:line="360" w:lineRule="auto"/>
              <w:rPr>
                <w:rFonts w:ascii="宋体" w:cs="宋体"/>
                <w:sz w:val="24"/>
                <w:szCs w:val="24"/>
              </w:rPr>
            </w:pPr>
            <w:r>
              <w:rPr>
                <w:rFonts w:hint="eastAsia" w:ascii="宋体" w:hAnsi="宋体" w:cs="宋体"/>
                <w:sz w:val="24"/>
                <w:szCs w:val="24"/>
              </w:rPr>
              <w:t>采购人指定地点</w:t>
            </w:r>
          </w:p>
        </w:tc>
      </w:tr>
      <w:tr w14:paraId="072F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87" w:type="dxa"/>
            <w:vAlign w:val="center"/>
          </w:tcPr>
          <w:p w14:paraId="742D174B">
            <w:pPr>
              <w:widowControl/>
              <w:spacing w:line="360" w:lineRule="auto"/>
              <w:jc w:val="center"/>
              <w:rPr>
                <w:rFonts w:ascii="宋体" w:cs="宋体"/>
                <w:sz w:val="24"/>
                <w:szCs w:val="24"/>
              </w:rPr>
            </w:pPr>
            <w:r>
              <w:rPr>
                <w:rFonts w:hint="eastAsia" w:ascii="宋体" w:hAnsi="宋体" w:cs="宋体"/>
                <w:sz w:val="24"/>
                <w:szCs w:val="24"/>
              </w:rPr>
              <w:t>5</w:t>
            </w:r>
          </w:p>
        </w:tc>
        <w:tc>
          <w:tcPr>
            <w:tcW w:w="1898" w:type="dxa"/>
            <w:vAlign w:val="center"/>
          </w:tcPr>
          <w:p w14:paraId="00E3905C">
            <w:pPr>
              <w:widowControl/>
              <w:spacing w:line="360" w:lineRule="auto"/>
              <w:jc w:val="center"/>
              <w:rPr>
                <w:rFonts w:ascii="宋体" w:cs="宋体"/>
                <w:sz w:val="24"/>
                <w:szCs w:val="24"/>
              </w:rPr>
            </w:pPr>
            <w:r>
              <w:rPr>
                <w:rFonts w:hint="eastAsia" w:ascii="宋体" w:hAnsi="宋体" w:cs="宋体"/>
                <w:sz w:val="24"/>
                <w:szCs w:val="24"/>
              </w:rPr>
              <w:t>质量要求</w:t>
            </w:r>
          </w:p>
        </w:tc>
        <w:tc>
          <w:tcPr>
            <w:tcW w:w="7032" w:type="dxa"/>
            <w:vAlign w:val="center"/>
          </w:tcPr>
          <w:p w14:paraId="3525D37E">
            <w:pPr>
              <w:widowControl/>
              <w:spacing w:line="360" w:lineRule="auto"/>
              <w:jc w:val="left"/>
              <w:rPr>
                <w:rFonts w:ascii="宋体" w:cs="宋体"/>
                <w:sz w:val="24"/>
                <w:szCs w:val="24"/>
              </w:rPr>
            </w:pPr>
            <w:r>
              <w:rPr>
                <w:rFonts w:hint="eastAsia" w:ascii="宋体" w:hAnsi="宋体" w:cs="宋体"/>
                <w:sz w:val="24"/>
                <w:szCs w:val="24"/>
                <w:lang w:val="zh-TW"/>
              </w:rPr>
              <w:t>符合国家质量验收标准及采购人要求。</w:t>
            </w:r>
          </w:p>
        </w:tc>
      </w:tr>
      <w:tr w14:paraId="1B8F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3E96AD57">
            <w:pPr>
              <w:widowControl/>
              <w:spacing w:line="360" w:lineRule="auto"/>
              <w:jc w:val="center"/>
              <w:rPr>
                <w:rFonts w:ascii="宋体" w:cs="宋体"/>
                <w:sz w:val="24"/>
                <w:szCs w:val="24"/>
              </w:rPr>
            </w:pPr>
            <w:r>
              <w:rPr>
                <w:rFonts w:hint="eastAsia" w:ascii="宋体" w:hAnsi="宋体" w:cs="宋体"/>
                <w:sz w:val="24"/>
                <w:szCs w:val="24"/>
              </w:rPr>
              <w:t>6</w:t>
            </w:r>
          </w:p>
        </w:tc>
        <w:tc>
          <w:tcPr>
            <w:tcW w:w="1898" w:type="dxa"/>
            <w:vAlign w:val="center"/>
          </w:tcPr>
          <w:p w14:paraId="3584BA16">
            <w:pPr>
              <w:widowControl/>
              <w:spacing w:line="360" w:lineRule="auto"/>
              <w:jc w:val="center"/>
              <w:rPr>
                <w:rFonts w:ascii="宋体" w:cs="宋体"/>
                <w:sz w:val="24"/>
                <w:szCs w:val="24"/>
              </w:rPr>
            </w:pPr>
            <w:r>
              <w:rPr>
                <w:rFonts w:hint="eastAsia" w:ascii="宋体" w:hAnsi="宋体" w:cs="宋体"/>
                <w:sz w:val="24"/>
                <w:szCs w:val="24"/>
              </w:rPr>
              <w:t>投标有效期</w:t>
            </w:r>
          </w:p>
        </w:tc>
        <w:tc>
          <w:tcPr>
            <w:tcW w:w="7032" w:type="dxa"/>
            <w:vAlign w:val="center"/>
          </w:tcPr>
          <w:p w14:paraId="3FE3A71F">
            <w:pPr>
              <w:widowControl/>
              <w:spacing w:line="360" w:lineRule="auto"/>
              <w:jc w:val="left"/>
              <w:rPr>
                <w:rFonts w:ascii="宋体" w:cs="宋体"/>
                <w:sz w:val="24"/>
                <w:szCs w:val="24"/>
              </w:rPr>
            </w:pPr>
            <w:r>
              <w:rPr>
                <w:rFonts w:hint="eastAsia" w:ascii="宋体" w:hAnsi="宋体" w:cs="宋体"/>
                <w:sz w:val="24"/>
                <w:szCs w:val="24"/>
              </w:rPr>
              <w:t>提交响应文件截止之日起</w:t>
            </w:r>
            <w:r>
              <w:rPr>
                <w:rFonts w:ascii="宋体" w:hAnsi="宋体" w:cs="宋体"/>
                <w:sz w:val="24"/>
                <w:szCs w:val="24"/>
              </w:rPr>
              <w:t>90</w:t>
            </w:r>
            <w:r>
              <w:rPr>
                <w:rFonts w:hint="eastAsia" w:ascii="宋体" w:hAnsi="宋体" w:cs="宋体"/>
                <w:sz w:val="24"/>
                <w:szCs w:val="24"/>
              </w:rPr>
              <w:t>日</w:t>
            </w:r>
          </w:p>
        </w:tc>
      </w:tr>
      <w:tr w14:paraId="0415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7502A9AD">
            <w:pPr>
              <w:widowControl/>
              <w:spacing w:line="360" w:lineRule="auto"/>
              <w:ind w:firstLine="240" w:firstLineChars="100"/>
              <w:jc w:val="left"/>
              <w:rPr>
                <w:rFonts w:ascii="宋体" w:cs="宋体"/>
                <w:sz w:val="24"/>
                <w:szCs w:val="24"/>
              </w:rPr>
            </w:pPr>
            <w:r>
              <w:rPr>
                <w:rFonts w:hint="eastAsia" w:ascii="宋体" w:hAnsi="宋体" w:cs="宋体"/>
                <w:sz w:val="24"/>
                <w:szCs w:val="24"/>
              </w:rPr>
              <w:t>7</w:t>
            </w:r>
          </w:p>
        </w:tc>
        <w:tc>
          <w:tcPr>
            <w:tcW w:w="1898" w:type="dxa"/>
            <w:vAlign w:val="center"/>
          </w:tcPr>
          <w:p w14:paraId="02343AE7">
            <w:pPr>
              <w:widowControl/>
              <w:spacing w:line="360" w:lineRule="auto"/>
              <w:jc w:val="center"/>
              <w:rPr>
                <w:rFonts w:ascii="宋体" w:cs="宋体"/>
                <w:sz w:val="24"/>
                <w:szCs w:val="24"/>
              </w:rPr>
            </w:pPr>
            <w:r>
              <w:rPr>
                <w:rFonts w:hint="eastAsia" w:ascii="宋体" w:hAnsi="宋体" w:cs="宋体"/>
                <w:sz w:val="24"/>
                <w:szCs w:val="24"/>
              </w:rPr>
              <w:t>答疑或澄清文件</w:t>
            </w:r>
          </w:p>
        </w:tc>
        <w:tc>
          <w:tcPr>
            <w:tcW w:w="7032" w:type="dxa"/>
            <w:vAlign w:val="center"/>
          </w:tcPr>
          <w:p w14:paraId="28C45682">
            <w:pPr>
              <w:widowControl/>
              <w:spacing w:line="360" w:lineRule="auto"/>
              <w:jc w:val="left"/>
              <w:rPr>
                <w:rFonts w:ascii="宋体" w:hAnsi="宋体" w:cs="宋体"/>
                <w:sz w:val="24"/>
                <w:szCs w:val="24"/>
              </w:rPr>
            </w:pPr>
            <w:r>
              <w:rPr>
                <w:rFonts w:ascii="宋体" w:hAnsi="宋体" w:cs="宋体"/>
                <w:sz w:val="24"/>
                <w:szCs w:val="24"/>
              </w:rPr>
              <w:t>提疑截止时间：</w:t>
            </w:r>
            <w:r>
              <w:rPr>
                <w:rFonts w:hint="eastAsia" w:ascii="宋体" w:hAnsi="宋体" w:cs="宋体"/>
                <w:sz w:val="24"/>
                <w:szCs w:val="24"/>
              </w:rPr>
              <w:t>2</w:t>
            </w:r>
            <w:r>
              <w:rPr>
                <w:rFonts w:ascii="宋体" w:hAnsi="宋体" w:cs="宋体"/>
                <w:sz w:val="24"/>
                <w:szCs w:val="24"/>
              </w:rPr>
              <w:t>026年</w:t>
            </w:r>
            <w:r>
              <w:rPr>
                <w:rFonts w:hint="eastAsia" w:ascii="宋体" w:hAnsi="宋体" w:cs="宋体"/>
                <w:sz w:val="24"/>
                <w:szCs w:val="24"/>
              </w:rPr>
              <w:t>6月12</w:t>
            </w:r>
            <w:r>
              <w:rPr>
                <w:rFonts w:ascii="宋体" w:hAnsi="宋体" w:cs="宋体"/>
                <w:sz w:val="24"/>
                <w:szCs w:val="24"/>
              </w:rPr>
              <w:t>日</w:t>
            </w:r>
            <w:r>
              <w:rPr>
                <w:rFonts w:hint="eastAsia" w:ascii="宋体" w:hAnsi="宋体" w:cs="宋体"/>
                <w:sz w:val="24"/>
                <w:szCs w:val="24"/>
              </w:rPr>
              <w:t>16</w:t>
            </w:r>
            <w:r>
              <w:rPr>
                <w:rFonts w:ascii="宋体" w:hAnsi="宋体" w:cs="宋体"/>
                <w:sz w:val="24"/>
                <w:szCs w:val="24"/>
              </w:rPr>
              <w:t>时</w:t>
            </w:r>
            <w:r>
              <w:rPr>
                <w:rFonts w:hint="eastAsia" w:ascii="宋体" w:hAnsi="宋体" w:cs="宋体"/>
                <w:sz w:val="24"/>
                <w:szCs w:val="24"/>
              </w:rPr>
              <w:t>3</w:t>
            </w:r>
            <w:r>
              <w:rPr>
                <w:rFonts w:ascii="宋体" w:hAnsi="宋体" w:cs="宋体"/>
                <w:sz w:val="24"/>
                <w:szCs w:val="24"/>
              </w:rPr>
              <w:t>0分</w:t>
            </w:r>
          </w:p>
          <w:p w14:paraId="0F37819D">
            <w:pPr>
              <w:widowControl/>
              <w:spacing w:line="360" w:lineRule="auto"/>
              <w:jc w:val="left"/>
              <w:rPr>
                <w:rFonts w:ascii="宋体" w:hAnsi="宋体" w:cs="宋体"/>
                <w:sz w:val="24"/>
                <w:szCs w:val="24"/>
              </w:rPr>
            </w:pPr>
            <w:r>
              <w:rPr>
                <w:rFonts w:hint="eastAsia" w:ascii="宋体" w:hAnsi="宋体" w:cs="宋体"/>
                <w:sz w:val="24"/>
                <w:szCs w:val="24"/>
              </w:rPr>
              <w:t>修改采购文件的时间距磋商截止时间不足</w:t>
            </w:r>
            <w:r>
              <w:rPr>
                <w:rFonts w:ascii="宋体" w:hAnsi="宋体" w:cs="宋体"/>
                <w:sz w:val="24"/>
                <w:szCs w:val="24"/>
              </w:rPr>
              <w:t>5</w:t>
            </w:r>
            <w:r>
              <w:rPr>
                <w:rFonts w:hint="eastAsia" w:ascii="宋体" w:hAnsi="宋体" w:cs="宋体"/>
                <w:sz w:val="24"/>
                <w:szCs w:val="24"/>
              </w:rPr>
              <w:t>日的，并且修改内容可能影响响应文件编制的，将相应延长磋商截止时间。</w:t>
            </w:r>
          </w:p>
          <w:p w14:paraId="5F7419FB">
            <w:pPr>
              <w:widowControl/>
              <w:spacing w:line="360" w:lineRule="auto"/>
              <w:jc w:val="left"/>
              <w:rPr>
                <w:rFonts w:ascii="宋体" w:cs="宋体"/>
                <w:sz w:val="24"/>
                <w:szCs w:val="24"/>
              </w:rPr>
            </w:pPr>
            <w:r>
              <w:rPr>
                <w:rFonts w:hint="eastAsia" w:ascii="宋体" w:hAnsi="宋体" w:cs="宋体"/>
                <w:sz w:val="24"/>
                <w:szCs w:val="24"/>
              </w:rPr>
              <w:t>澄清答疑内容为采购文件的组成部分，逾期提出问题将不予澄清。潜在供应商因未能及时了解相关信息所引起的磋商失误责任由供应商承担。</w:t>
            </w:r>
          </w:p>
        </w:tc>
      </w:tr>
      <w:tr w14:paraId="1052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4E27601F">
            <w:pPr>
              <w:widowControl/>
              <w:spacing w:line="360" w:lineRule="auto"/>
              <w:ind w:firstLine="240" w:firstLineChars="100"/>
              <w:jc w:val="left"/>
              <w:rPr>
                <w:rFonts w:ascii="宋体" w:cs="宋体"/>
                <w:sz w:val="24"/>
                <w:szCs w:val="24"/>
              </w:rPr>
            </w:pPr>
            <w:r>
              <w:rPr>
                <w:rFonts w:hint="eastAsia" w:ascii="宋体" w:hAnsi="宋体" w:cs="宋体"/>
                <w:sz w:val="24"/>
                <w:szCs w:val="24"/>
              </w:rPr>
              <w:t>8</w:t>
            </w:r>
          </w:p>
        </w:tc>
        <w:tc>
          <w:tcPr>
            <w:tcW w:w="1898" w:type="dxa"/>
            <w:vAlign w:val="center"/>
          </w:tcPr>
          <w:p w14:paraId="579F5FD9">
            <w:pPr>
              <w:widowControl/>
              <w:spacing w:line="360" w:lineRule="auto"/>
              <w:jc w:val="center"/>
              <w:rPr>
                <w:rFonts w:ascii="宋体" w:cs="宋体"/>
                <w:sz w:val="24"/>
                <w:szCs w:val="24"/>
              </w:rPr>
            </w:pPr>
            <w:r>
              <w:rPr>
                <w:rFonts w:hint="eastAsia" w:ascii="宋体" w:hAnsi="宋体" w:cs="宋体"/>
                <w:sz w:val="24"/>
                <w:szCs w:val="24"/>
              </w:rPr>
              <w:t>履约保证金</w:t>
            </w:r>
          </w:p>
        </w:tc>
        <w:tc>
          <w:tcPr>
            <w:tcW w:w="7032" w:type="dxa"/>
            <w:vAlign w:val="center"/>
          </w:tcPr>
          <w:p w14:paraId="182CF8D4">
            <w:pPr>
              <w:spacing w:line="360" w:lineRule="auto"/>
              <w:rPr>
                <w:rFonts w:ascii="宋体" w:cs="宋体"/>
                <w:sz w:val="24"/>
                <w:szCs w:val="24"/>
              </w:rPr>
            </w:pPr>
            <w:bookmarkStart w:id="56" w:name="OLE_LINK53"/>
            <w:r>
              <w:rPr>
                <w:rFonts w:hint="eastAsia" w:ascii="宋体" w:hAnsi="宋体" w:cs="宋体"/>
                <w:sz w:val="24"/>
                <w:szCs w:val="24"/>
                <w:u w:val="single"/>
                <w:lang w:val="zh-CN"/>
              </w:rPr>
              <w:t>本工程中标人在签订合同前以电子汇款的形式缴纳5万元履约保证金，收款账户：南京审计大学金审学院，开户银行：中国工商银行南京紫东支行，账号：4301018619100066683。</w:t>
            </w:r>
            <w:r>
              <w:rPr>
                <w:rFonts w:hint="eastAsia" w:ascii="宋体" w:hAnsi="宋体" w:cs="宋体"/>
                <w:sz w:val="24"/>
                <w:szCs w:val="24"/>
                <w:u w:val="single"/>
              </w:rPr>
              <w:t>履约担保的退还时间为：软件安装并调试完成，并全部验收合格后，招标人退还履约保证金（不计利息）。</w:t>
            </w:r>
            <w:bookmarkEnd w:id="56"/>
          </w:p>
        </w:tc>
      </w:tr>
      <w:tr w14:paraId="5DF8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49FF8923">
            <w:pPr>
              <w:widowControl/>
              <w:spacing w:line="360" w:lineRule="auto"/>
              <w:ind w:firstLine="240" w:firstLineChars="100"/>
              <w:jc w:val="left"/>
              <w:rPr>
                <w:rFonts w:ascii="宋体" w:cs="宋体"/>
                <w:sz w:val="24"/>
                <w:szCs w:val="24"/>
              </w:rPr>
            </w:pPr>
            <w:r>
              <w:rPr>
                <w:rFonts w:hint="eastAsia" w:ascii="宋体" w:hAnsi="宋体" w:cs="宋体"/>
                <w:sz w:val="24"/>
                <w:szCs w:val="24"/>
              </w:rPr>
              <w:t>9</w:t>
            </w:r>
          </w:p>
        </w:tc>
        <w:tc>
          <w:tcPr>
            <w:tcW w:w="1898" w:type="dxa"/>
            <w:vAlign w:val="center"/>
          </w:tcPr>
          <w:p w14:paraId="6B3CD29D">
            <w:pPr>
              <w:jc w:val="center"/>
              <w:rPr>
                <w:rFonts w:ascii="宋体" w:hAnsi="宋体"/>
                <w:sz w:val="24"/>
                <w:szCs w:val="24"/>
              </w:rPr>
            </w:pPr>
            <w:r>
              <w:rPr>
                <w:rFonts w:hint="eastAsia" w:ascii="宋体" w:hAnsi="宋体"/>
                <w:sz w:val="24"/>
                <w:szCs w:val="24"/>
              </w:rPr>
              <w:t>最高投标限价</w:t>
            </w:r>
          </w:p>
          <w:p w14:paraId="1768B524">
            <w:pPr>
              <w:jc w:val="center"/>
              <w:rPr>
                <w:rFonts w:ascii="宋体" w:hAnsi="宋体"/>
                <w:sz w:val="24"/>
                <w:szCs w:val="24"/>
              </w:rPr>
            </w:pPr>
            <w:r>
              <w:rPr>
                <w:rFonts w:hint="eastAsia" w:ascii="宋体" w:hAnsi="宋体"/>
                <w:sz w:val="24"/>
                <w:szCs w:val="24"/>
              </w:rPr>
              <w:t>（招标控制价）</w:t>
            </w:r>
          </w:p>
        </w:tc>
        <w:tc>
          <w:tcPr>
            <w:tcW w:w="7032" w:type="dxa"/>
            <w:vAlign w:val="center"/>
          </w:tcPr>
          <w:p w14:paraId="26F9F355">
            <w:pPr>
              <w:spacing w:line="360" w:lineRule="auto"/>
              <w:rPr>
                <w:rFonts w:ascii="宋体" w:hAnsi="宋体"/>
                <w:sz w:val="24"/>
                <w:szCs w:val="24"/>
                <w:shd w:val="clear" w:color="auto" w:fill="FFFFFF"/>
              </w:rPr>
            </w:pPr>
            <w:r>
              <w:rPr>
                <w:rFonts w:hint="eastAsia" w:ascii="宋体" w:hAnsi="宋体"/>
                <w:sz w:val="24"/>
                <w:szCs w:val="24"/>
                <w:shd w:val="clear" w:color="auto" w:fill="FFFFFF"/>
              </w:rPr>
              <w:t>本项目最高限价为：96万元</w:t>
            </w:r>
          </w:p>
        </w:tc>
      </w:tr>
      <w:tr w14:paraId="0DA4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2B2E7DC1">
            <w:pPr>
              <w:widowControl/>
              <w:spacing w:line="360" w:lineRule="auto"/>
              <w:ind w:firstLine="240" w:firstLineChars="100"/>
              <w:jc w:val="left"/>
              <w:rPr>
                <w:rFonts w:ascii="宋体" w:cs="宋体"/>
                <w:sz w:val="24"/>
                <w:szCs w:val="24"/>
              </w:rPr>
            </w:pPr>
            <w:r>
              <w:rPr>
                <w:rFonts w:hint="eastAsia" w:ascii="宋体" w:hAnsi="宋体" w:cs="宋体"/>
                <w:sz w:val="24"/>
                <w:szCs w:val="24"/>
              </w:rPr>
              <w:t>10</w:t>
            </w:r>
          </w:p>
        </w:tc>
        <w:tc>
          <w:tcPr>
            <w:tcW w:w="1898" w:type="dxa"/>
            <w:vAlign w:val="center"/>
          </w:tcPr>
          <w:p w14:paraId="319B3120">
            <w:pPr>
              <w:widowControl/>
              <w:spacing w:line="360" w:lineRule="auto"/>
              <w:jc w:val="center"/>
              <w:rPr>
                <w:rFonts w:ascii="宋体" w:cs="宋体"/>
                <w:sz w:val="24"/>
                <w:szCs w:val="24"/>
              </w:rPr>
            </w:pPr>
            <w:r>
              <w:rPr>
                <w:rFonts w:hint="eastAsia" w:ascii="宋体" w:hAnsi="宋体" w:cs="宋体"/>
                <w:sz w:val="24"/>
                <w:szCs w:val="24"/>
              </w:rPr>
              <w:t>响应文件拒收情形</w:t>
            </w:r>
          </w:p>
        </w:tc>
        <w:tc>
          <w:tcPr>
            <w:tcW w:w="7032" w:type="dxa"/>
            <w:vAlign w:val="center"/>
          </w:tcPr>
          <w:p w14:paraId="29B87490">
            <w:pPr>
              <w:widowControl/>
              <w:spacing w:line="360" w:lineRule="auto"/>
              <w:jc w:val="left"/>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）逾期送达或者未按照采购文件要求密封的响应文件的。</w:t>
            </w:r>
          </w:p>
          <w:p w14:paraId="245C8D48">
            <w:pPr>
              <w:widowControl/>
              <w:spacing w:line="360" w:lineRule="auto"/>
              <w:jc w:val="left"/>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）未按采购文件规定的数额和办法交纳磋商保证金的。</w:t>
            </w:r>
          </w:p>
        </w:tc>
      </w:tr>
      <w:tr w14:paraId="2A27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08A2359B">
            <w:pPr>
              <w:widowControl/>
              <w:spacing w:line="360" w:lineRule="auto"/>
              <w:ind w:firstLine="240" w:firstLineChars="100"/>
              <w:jc w:val="left"/>
              <w:rPr>
                <w:rFonts w:ascii="宋体" w:cs="宋体"/>
                <w:sz w:val="24"/>
                <w:szCs w:val="24"/>
              </w:rPr>
            </w:pPr>
            <w:r>
              <w:rPr>
                <w:rFonts w:ascii="宋体" w:hAnsi="宋体" w:cs="宋体"/>
                <w:sz w:val="24"/>
                <w:szCs w:val="24"/>
              </w:rPr>
              <w:t>1</w:t>
            </w:r>
            <w:r>
              <w:rPr>
                <w:rFonts w:hint="eastAsia" w:ascii="宋体" w:hAnsi="宋体" w:cs="宋体"/>
                <w:sz w:val="24"/>
                <w:szCs w:val="24"/>
              </w:rPr>
              <w:t>1</w:t>
            </w:r>
          </w:p>
        </w:tc>
        <w:tc>
          <w:tcPr>
            <w:tcW w:w="1898" w:type="dxa"/>
            <w:vAlign w:val="center"/>
          </w:tcPr>
          <w:p w14:paraId="51EF312E">
            <w:pPr>
              <w:widowControl/>
              <w:spacing w:line="360" w:lineRule="auto"/>
              <w:jc w:val="center"/>
              <w:rPr>
                <w:rFonts w:ascii="宋体" w:cs="宋体"/>
                <w:sz w:val="24"/>
                <w:szCs w:val="24"/>
              </w:rPr>
            </w:pPr>
            <w:r>
              <w:rPr>
                <w:rFonts w:hint="eastAsia" w:ascii="宋体" w:hAnsi="宋体" w:cs="宋体"/>
                <w:sz w:val="24"/>
                <w:szCs w:val="24"/>
              </w:rPr>
              <w:t>供应商参加磋商要求</w:t>
            </w:r>
          </w:p>
        </w:tc>
        <w:tc>
          <w:tcPr>
            <w:tcW w:w="7032" w:type="dxa"/>
            <w:vAlign w:val="center"/>
          </w:tcPr>
          <w:p w14:paraId="603EA28D">
            <w:pPr>
              <w:widowControl/>
              <w:spacing w:line="360" w:lineRule="auto"/>
              <w:jc w:val="left"/>
              <w:rPr>
                <w:rFonts w:ascii="宋体" w:cs="宋体"/>
                <w:sz w:val="24"/>
                <w:szCs w:val="24"/>
              </w:rPr>
            </w:pPr>
            <w:r>
              <w:rPr>
                <w:rFonts w:hint="eastAsia" w:ascii="宋体" w:hAnsi="宋体" w:cs="宋体"/>
                <w:sz w:val="24"/>
                <w:szCs w:val="24"/>
              </w:rPr>
              <w:t>参加磋商人员以及携带资料要求：</w:t>
            </w:r>
          </w:p>
          <w:p w14:paraId="5DEEEA31">
            <w:pPr>
              <w:widowControl/>
              <w:spacing w:line="360" w:lineRule="auto"/>
              <w:jc w:val="left"/>
              <w:rPr>
                <w:rFonts w:ascii="宋体" w:cs="宋体"/>
                <w:sz w:val="24"/>
                <w:szCs w:val="24"/>
              </w:rPr>
            </w:pPr>
            <w:r>
              <w:rPr>
                <w:rFonts w:ascii="Segoe UI Symbol" w:hAnsi="Segoe UI Symbol" w:cs="Segoe UI Symbol"/>
                <w:sz w:val="24"/>
                <w:szCs w:val="24"/>
              </w:rPr>
              <w:t>☑</w:t>
            </w:r>
            <w:r>
              <w:rPr>
                <w:rFonts w:hint="eastAsia" w:ascii="宋体" w:hAnsi="宋体" w:cs="宋体"/>
                <w:sz w:val="24"/>
                <w:szCs w:val="24"/>
              </w:rPr>
              <w:t>授权委托人需携带本人身份证原件、法人授权委托书原件（手持）、代理人还需携带授权委托书原件及需提供社保机构出具的投标人为其交纳的近半年（2025年11月至2026年4月）内任意一期的养老保险金缴费证明材料并加盖社保中心章或社保中心参保缴费证明电子专用章（具有可验证的二维码或验证码），若属企业退休人员、现役军人等无法提供养老保险金缴费证明，必须出具相关证明材料，供招标人核查。若上述人员未能按时到场参加开标会议或人员虽到场但未完整递交上述原件的或所递交原件无效的，均视为投标人自动放弃本标段投标权，招标人将拒绝接受其投标书。参加磋商时间要求：</w:t>
            </w:r>
          </w:p>
          <w:p w14:paraId="319B3404">
            <w:pPr>
              <w:widowControl/>
              <w:spacing w:line="360" w:lineRule="auto"/>
              <w:jc w:val="left"/>
              <w:rPr>
                <w:rFonts w:ascii="宋体" w:cs="宋体"/>
                <w:sz w:val="24"/>
                <w:szCs w:val="24"/>
              </w:rPr>
            </w:pPr>
            <w:r>
              <w:rPr>
                <w:rFonts w:ascii="Segoe UI Symbol" w:hAnsi="Segoe UI Symbol" w:cs="Segoe UI Symbol"/>
                <w:sz w:val="24"/>
                <w:szCs w:val="24"/>
              </w:rPr>
              <w:t>☑</w:t>
            </w:r>
            <w:r>
              <w:rPr>
                <w:rFonts w:hint="eastAsia" w:ascii="宋体" w:hAnsi="宋体" w:cs="宋体"/>
                <w:sz w:val="24"/>
                <w:szCs w:val="24"/>
              </w:rPr>
              <w:t>磋商截止时间前到达，授权委托人身份证原件由采购人在磋商现场进行核验。</w:t>
            </w:r>
          </w:p>
        </w:tc>
      </w:tr>
      <w:tr w14:paraId="5E12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408C3E18">
            <w:pPr>
              <w:widowControl/>
              <w:spacing w:line="360" w:lineRule="auto"/>
              <w:ind w:firstLine="240" w:firstLineChars="100"/>
              <w:jc w:val="left"/>
              <w:rPr>
                <w:rFonts w:ascii="宋体" w:cs="宋体"/>
                <w:sz w:val="24"/>
                <w:szCs w:val="24"/>
              </w:rPr>
            </w:pPr>
            <w:r>
              <w:rPr>
                <w:rFonts w:ascii="宋体" w:hAnsi="宋体" w:cs="宋体"/>
                <w:sz w:val="24"/>
                <w:szCs w:val="24"/>
              </w:rPr>
              <w:t>1</w:t>
            </w:r>
            <w:r>
              <w:rPr>
                <w:rFonts w:hint="eastAsia" w:ascii="宋体" w:hAnsi="宋体" w:cs="宋体"/>
                <w:sz w:val="24"/>
                <w:szCs w:val="24"/>
              </w:rPr>
              <w:t>2</w:t>
            </w:r>
          </w:p>
        </w:tc>
        <w:tc>
          <w:tcPr>
            <w:tcW w:w="1898" w:type="dxa"/>
            <w:vAlign w:val="center"/>
          </w:tcPr>
          <w:p w14:paraId="5F36EED1">
            <w:pPr>
              <w:widowControl/>
              <w:spacing w:line="360" w:lineRule="auto"/>
              <w:jc w:val="center"/>
              <w:rPr>
                <w:rFonts w:ascii="宋体" w:cs="宋体"/>
                <w:sz w:val="24"/>
                <w:szCs w:val="24"/>
              </w:rPr>
            </w:pPr>
            <w:r>
              <w:rPr>
                <w:rFonts w:hint="eastAsia" w:ascii="宋体" w:hAnsi="宋体" w:cs="宋体"/>
                <w:sz w:val="24"/>
                <w:szCs w:val="24"/>
              </w:rPr>
              <w:t>响应文件份数及相关要求</w:t>
            </w:r>
          </w:p>
        </w:tc>
        <w:tc>
          <w:tcPr>
            <w:tcW w:w="7032" w:type="dxa"/>
            <w:vAlign w:val="center"/>
          </w:tcPr>
          <w:p w14:paraId="5974A86F">
            <w:pPr>
              <w:widowControl/>
              <w:spacing w:line="360" w:lineRule="auto"/>
              <w:jc w:val="left"/>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）响应文件应一式肆份（正本壹份、副本叁份），采用胶装装订成册并加盖骑缝章。</w:t>
            </w:r>
          </w:p>
          <w:p w14:paraId="6B6E825D">
            <w:pPr>
              <w:widowControl/>
              <w:spacing w:line="360" w:lineRule="auto"/>
              <w:jc w:val="left"/>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）提供与标书文件内容完全一致的</w:t>
            </w:r>
            <w:r>
              <w:rPr>
                <w:rFonts w:ascii="宋体" w:hAnsi="宋体" w:cs="宋体"/>
                <w:sz w:val="24"/>
                <w:szCs w:val="24"/>
              </w:rPr>
              <w:t>U</w:t>
            </w:r>
            <w:r>
              <w:rPr>
                <w:rFonts w:hint="eastAsia" w:ascii="宋体" w:hAnsi="宋体" w:cs="宋体"/>
                <w:sz w:val="24"/>
                <w:szCs w:val="24"/>
              </w:rPr>
              <w:t>盘一份：电子</w:t>
            </w:r>
            <w:r>
              <w:rPr>
                <w:rFonts w:ascii="宋体" w:hAnsi="宋体" w:cs="宋体"/>
                <w:sz w:val="24"/>
                <w:szCs w:val="24"/>
              </w:rPr>
              <w:t>U</w:t>
            </w:r>
            <w:r>
              <w:rPr>
                <w:rFonts w:hint="eastAsia" w:ascii="宋体" w:hAnsi="宋体" w:cs="宋体"/>
                <w:sz w:val="24"/>
                <w:szCs w:val="24"/>
              </w:rPr>
              <w:t>盘应包括响应文件的全部内容，单独封装一份随响应文件一起递交，封装时加贴标签注明“项目名称、项目编号、供应商名称”，无论是否中标，</w:t>
            </w:r>
            <w:r>
              <w:rPr>
                <w:rFonts w:ascii="宋体" w:hAnsi="宋体" w:cs="宋体"/>
                <w:sz w:val="24"/>
                <w:szCs w:val="24"/>
              </w:rPr>
              <w:t>U</w:t>
            </w:r>
            <w:r>
              <w:rPr>
                <w:rFonts w:hint="eastAsia" w:ascii="宋体" w:hAnsi="宋体" w:cs="宋体"/>
                <w:sz w:val="24"/>
                <w:szCs w:val="24"/>
              </w:rPr>
              <w:t>盘不退。若供应商未提交电子</w:t>
            </w:r>
            <w:r>
              <w:rPr>
                <w:rFonts w:ascii="宋体" w:hAnsi="宋体" w:cs="宋体"/>
                <w:sz w:val="24"/>
                <w:szCs w:val="24"/>
              </w:rPr>
              <w:t>U</w:t>
            </w:r>
            <w:r>
              <w:rPr>
                <w:rFonts w:hint="eastAsia" w:ascii="宋体" w:hAnsi="宋体" w:cs="宋体"/>
                <w:sz w:val="24"/>
                <w:szCs w:val="24"/>
              </w:rPr>
              <w:t>盘，开标现场将拒收其所有磋商相关资料及文件，电子</w:t>
            </w:r>
            <w:r>
              <w:rPr>
                <w:rFonts w:ascii="宋体" w:hAnsi="宋体" w:cs="宋体"/>
                <w:sz w:val="24"/>
                <w:szCs w:val="24"/>
              </w:rPr>
              <w:t>U</w:t>
            </w:r>
            <w:r>
              <w:rPr>
                <w:rFonts w:hint="eastAsia" w:ascii="宋体" w:hAnsi="宋体" w:cs="宋体"/>
                <w:sz w:val="24"/>
                <w:szCs w:val="24"/>
              </w:rPr>
              <w:t>盘内容不完整或与响应文件不一致的，供应商后果自负。电子</w:t>
            </w:r>
            <w:r>
              <w:rPr>
                <w:rFonts w:ascii="宋体" w:hAnsi="宋体" w:cs="宋体"/>
                <w:sz w:val="24"/>
                <w:szCs w:val="24"/>
              </w:rPr>
              <w:t>U</w:t>
            </w:r>
            <w:r>
              <w:rPr>
                <w:rFonts w:hint="eastAsia" w:ascii="宋体" w:hAnsi="宋体" w:cs="宋体"/>
                <w:sz w:val="24"/>
                <w:szCs w:val="24"/>
              </w:rPr>
              <w:t>盘单独密封后随响应文件一起递交，当电子版文件和纸质正本文件不一致时，以纸质正本文件为准。电子版文件用于辅助评标和项目存档，供应商需承担前述不一致造成的不利后果）。</w:t>
            </w:r>
          </w:p>
          <w:p w14:paraId="098C140A">
            <w:pPr>
              <w:widowControl/>
              <w:spacing w:line="360" w:lineRule="auto"/>
              <w:jc w:val="left"/>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）响应文件正本、</w:t>
            </w:r>
            <w:r>
              <w:rPr>
                <w:rFonts w:ascii="宋体" w:hAnsi="宋体" w:cs="宋体"/>
                <w:sz w:val="24"/>
                <w:szCs w:val="24"/>
              </w:rPr>
              <w:t>U</w:t>
            </w:r>
            <w:r>
              <w:rPr>
                <w:rFonts w:hint="eastAsia" w:ascii="宋体" w:hAnsi="宋体" w:cs="宋体"/>
                <w:sz w:val="24"/>
                <w:szCs w:val="24"/>
              </w:rPr>
              <w:t>盘均单独密封，所有副本一起密封。【若响响应文件过厚，电子文档及正、副本也可单独装在不同的封袋中】</w:t>
            </w:r>
          </w:p>
          <w:p w14:paraId="5DE9669F">
            <w:pPr>
              <w:widowControl/>
              <w:spacing w:line="360" w:lineRule="auto"/>
              <w:jc w:val="left"/>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）封袋上应写明项目名称、标段名称、供应商名称、法定代表人签字或法定代表人签章和供应商公章，注明开标前不得开封，并在封袋上注明“正本”、“副本”，</w:t>
            </w:r>
            <w:r>
              <w:rPr>
                <w:rFonts w:hint="eastAsia" w:ascii="宋体" w:hAnsi="宋体" w:cs="宋体"/>
                <w:b/>
                <w:sz w:val="24"/>
                <w:szCs w:val="24"/>
              </w:rPr>
              <w:t>封袋的粘缝均须加盖单位公章。</w:t>
            </w:r>
          </w:p>
        </w:tc>
      </w:tr>
      <w:tr w14:paraId="1B1E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1473BDEA">
            <w:pPr>
              <w:widowControl/>
              <w:spacing w:line="360" w:lineRule="auto"/>
              <w:ind w:firstLine="240" w:firstLineChars="100"/>
              <w:jc w:val="left"/>
              <w:rPr>
                <w:rFonts w:ascii="宋体" w:cs="宋体"/>
                <w:sz w:val="24"/>
                <w:szCs w:val="24"/>
              </w:rPr>
            </w:pPr>
            <w:r>
              <w:rPr>
                <w:rFonts w:ascii="宋体" w:hAnsi="宋体" w:cs="宋体"/>
                <w:sz w:val="24"/>
                <w:szCs w:val="24"/>
              </w:rPr>
              <w:t>1</w:t>
            </w:r>
            <w:r>
              <w:rPr>
                <w:rFonts w:hint="eastAsia" w:ascii="宋体" w:hAnsi="宋体" w:cs="宋体"/>
                <w:sz w:val="24"/>
                <w:szCs w:val="24"/>
              </w:rPr>
              <w:t>3</w:t>
            </w:r>
          </w:p>
        </w:tc>
        <w:tc>
          <w:tcPr>
            <w:tcW w:w="1898" w:type="dxa"/>
            <w:vAlign w:val="center"/>
          </w:tcPr>
          <w:p w14:paraId="3749828A">
            <w:pPr>
              <w:widowControl/>
              <w:spacing w:line="360" w:lineRule="auto"/>
              <w:jc w:val="center"/>
              <w:rPr>
                <w:rFonts w:ascii="宋体" w:cs="宋体"/>
                <w:sz w:val="24"/>
                <w:szCs w:val="24"/>
              </w:rPr>
            </w:pPr>
            <w:r>
              <w:rPr>
                <w:rFonts w:hint="eastAsia" w:ascii="宋体" w:hAnsi="宋体" w:cs="宋体"/>
                <w:sz w:val="24"/>
                <w:szCs w:val="24"/>
              </w:rPr>
              <w:t>盖章要求</w:t>
            </w:r>
          </w:p>
        </w:tc>
        <w:tc>
          <w:tcPr>
            <w:tcW w:w="7032" w:type="dxa"/>
            <w:vAlign w:val="center"/>
          </w:tcPr>
          <w:p w14:paraId="1A21BB61">
            <w:pPr>
              <w:widowControl/>
              <w:spacing w:line="360" w:lineRule="auto"/>
              <w:jc w:val="left"/>
              <w:rPr>
                <w:rFonts w:ascii="宋体" w:cs="宋体"/>
                <w:sz w:val="24"/>
                <w:szCs w:val="24"/>
              </w:rPr>
            </w:pPr>
            <w:r>
              <w:rPr>
                <w:rFonts w:hint="eastAsia" w:ascii="宋体" w:hAnsi="宋体" w:cs="宋体"/>
                <w:sz w:val="24"/>
                <w:szCs w:val="24"/>
              </w:rPr>
              <w:t>供应商响应文件中加盖的公章仅能使用与供应商名称一致的标准公章，不得使用其他形式（如带有“专用章”、“合同章”、“财务章”、“业务章”等字样）的印章；否则，按无效磋商处理。</w:t>
            </w:r>
          </w:p>
        </w:tc>
      </w:tr>
      <w:tr w14:paraId="0626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741D47FF">
            <w:pPr>
              <w:widowControl/>
              <w:spacing w:line="360" w:lineRule="auto"/>
              <w:ind w:firstLine="240" w:firstLineChars="100"/>
              <w:jc w:val="left"/>
              <w:rPr>
                <w:rFonts w:ascii="宋体" w:cs="宋体"/>
                <w:sz w:val="24"/>
                <w:szCs w:val="24"/>
              </w:rPr>
            </w:pPr>
            <w:r>
              <w:rPr>
                <w:rFonts w:ascii="宋体" w:hAnsi="宋体" w:cs="宋体"/>
                <w:sz w:val="24"/>
                <w:szCs w:val="24"/>
              </w:rPr>
              <w:t>1</w:t>
            </w:r>
            <w:r>
              <w:rPr>
                <w:rFonts w:hint="eastAsia" w:ascii="宋体" w:hAnsi="宋体" w:cs="宋体"/>
                <w:sz w:val="24"/>
                <w:szCs w:val="24"/>
              </w:rPr>
              <w:t>4</w:t>
            </w:r>
          </w:p>
        </w:tc>
        <w:tc>
          <w:tcPr>
            <w:tcW w:w="1898" w:type="dxa"/>
            <w:vAlign w:val="center"/>
          </w:tcPr>
          <w:p w14:paraId="225FFB9F">
            <w:pPr>
              <w:autoSpaceDE w:val="0"/>
              <w:autoSpaceDN w:val="0"/>
              <w:spacing w:line="360" w:lineRule="auto"/>
              <w:jc w:val="center"/>
              <w:rPr>
                <w:rFonts w:ascii="宋体" w:cs="宋体"/>
                <w:sz w:val="24"/>
                <w:szCs w:val="24"/>
              </w:rPr>
            </w:pPr>
            <w:r>
              <w:rPr>
                <w:rFonts w:hint="eastAsia" w:ascii="宋体" w:hAnsi="宋体" w:cs="宋体"/>
                <w:sz w:val="24"/>
                <w:szCs w:val="24"/>
              </w:rPr>
              <w:t>付款方式</w:t>
            </w:r>
          </w:p>
        </w:tc>
        <w:tc>
          <w:tcPr>
            <w:tcW w:w="7032" w:type="dxa"/>
            <w:vAlign w:val="center"/>
          </w:tcPr>
          <w:p w14:paraId="5744D183">
            <w:pPr>
              <w:autoSpaceDE w:val="0"/>
              <w:autoSpaceDN w:val="0"/>
              <w:spacing w:line="360" w:lineRule="auto"/>
              <w:rPr>
                <w:rFonts w:ascii="宋体" w:cs="宋体"/>
                <w:sz w:val="24"/>
                <w:szCs w:val="24"/>
              </w:rPr>
            </w:pPr>
            <w:r>
              <w:rPr>
                <w:rFonts w:hint="eastAsia" w:ascii="宋体" w:hAnsi="宋体"/>
                <w:sz w:val="24"/>
                <w:szCs w:val="24"/>
                <w:lang w:val="zh-CN"/>
              </w:rPr>
              <w:t>安装及调试完成并验收通过后付至合同总价的95%，余款质保期到期后支付（免息）。</w:t>
            </w:r>
          </w:p>
        </w:tc>
      </w:tr>
      <w:tr w14:paraId="50CF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14:paraId="09F43BF9">
            <w:pPr>
              <w:widowControl/>
              <w:spacing w:line="360" w:lineRule="auto"/>
              <w:ind w:firstLine="240" w:firstLineChars="100"/>
              <w:jc w:val="left"/>
              <w:rPr>
                <w:rFonts w:ascii="宋体" w:hAnsi="宋体" w:cs="宋体"/>
                <w:sz w:val="24"/>
                <w:szCs w:val="24"/>
              </w:rPr>
            </w:pPr>
            <w:r>
              <w:rPr>
                <w:rFonts w:hint="eastAsia" w:ascii="宋体" w:hAnsi="宋体" w:cs="宋体"/>
                <w:sz w:val="24"/>
                <w:szCs w:val="24"/>
              </w:rPr>
              <w:t>15</w:t>
            </w:r>
          </w:p>
        </w:tc>
        <w:tc>
          <w:tcPr>
            <w:tcW w:w="1898" w:type="dxa"/>
            <w:vAlign w:val="center"/>
          </w:tcPr>
          <w:p w14:paraId="79AD7C98">
            <w:pPr>
              <w:jc w:val="center"/>
              <w:rPr>
                <w:rFonts w:ascii="宋体" w:hAnsi="宋体"/>
                <w:sz w:val="24"/>
                <w:szCs w:val="24"/>
              </w:rPr>
            </w:pPr>
            <w:r>
              <w:rPr>
                <w:rFonts w:hint="eastAsia" w:ascii="宋体" w:hAnsi="宋体"/>
                <w:sz w:val="24"/>
                <w:szCs w:val="24"/>
              </w:rPr>
              <w:t>是否授权磋商小组确定中标人</w:t>
            </w:r>
          </w:p>
        </w:tc>
        <w:tc>
          <w:tcPr>
            <w:tcW w:w="7032" w:type="dxa"/>
            <w:vAlign w:val="center"/>
          </w:tcPr>
          <w:p w14:paraId="0F91DBD1">
            <w:pPr>
              <w:spacing w:line="360" w:lineRule="auto"/>
              <w:jc w:val="left"/>
              <w:rPr>
                <w:rFonts w:ascii="宋体" w:hAnsi="宋体"/>
                <w:sz w:val="24"/>
                <w:szCs w:val="24"/>
                <w:shd w:val="clear" w:color="auto" w:fill="FFFFFF"/>
              </w:rPr>
            </w:pPr>
            <w:r>
              <w:fldChar w:fldCharType="begin"/>
            </w:r>
            <w:r>
              <w:instrText xml:space="preserve"> AUTOTEXT  input134 \* MERGEFORMAT </w:instrText>
            </w:r>
            <w:r>
              <w:fldChar w:fldCharType="separate"/>
            </w:r>
            <w:r>
              <w:rPr>
                <w:rFonts w:hint="eastAsia" w:ascii="MS Mincho" w:hAnsi="MS Mincho" w:eastAsia="MS Mincho" w:cs="MS Mincho"/>
                <w:snapToGrid w:val="0"/>
                <w:kern w:val="0"/>
                <w:sz w:val="24"/>
                <w:szCs w:val="21"/>
              </w:rPr>
              <w:t>☑</w:t>
            </w:r>
            <w:r>
              <w:rPr>
                <w:rFonts w:ascii="MS Mincho" w:hAnsi="MS Mincho" w:eastAsia="MS Mincho" w:cs="MS Mincho"/>
                <w:snapToGrid w:val="0"/>
                <w:kern w:val="0"/>
                <w:sz w:val="24"/>
                <w:szCs w:val="21"/>
              </w:rPr>
              <w:fldChar w:fldCharType="end"/>
            </w:r>
            <w:r>
              <w:rPr>
                <w:rFonts w:hint="eastAsia" w:ascii="宋体" w:hAnsi="宋体"/>
                <w:sz w:val="24"/>
                <w:szCs w:val="24"/>
              </w:rPr>
              <w:t>否：</w:t>
            </w:r>
            <w:r>
              <w:rPr>
                <w:rFonts w:hint="eastAsia" w:ascii="宋体" w:hAnsi="宋体"/>
                <w:sz w:val="24"/>
                <w:szCs w:val="24"/>
                <w:shd w:val="clear" w:color="auto" w:fill="FFFFFF"/>
              </w:rPr>
              <w:t>推荐中标人候选人不超过3个，并标明中标候选人排序。</w:t>
            </w:r>
          </w:p>
          <w:p w14:paraId="69AA997F">
            <w:pPr>
              <w:spacing w:line="360" w:lineRule="auto"/>
              <w:jc w:val="left"/>
              <w:rPr>
                <w:rFonts w:ascii="宋体" w:hAnsi="宋体"/>
                <w:b/>
                <w:sz w:val="24"/>
                <w:szCs w:val="24"/>
                <w:u w:val="single"/>
              </w:rPr>
            </w:pPr>
            <w:r>
              <w:rPr>
                <w:rFonts w:hint="eastAsia" w:ascii="宋体" w:hAnsi="宋体"/>
                <w:b/>
                <w:sz w:val="24"/>
                <w:szCs w:val="24"/>
                <w:u w:val="single"/>
                <w:shd w:val="clear" w:color="auto" w:fill="FFFFFF"/>
              </w:rPr>
              <w:t>本项目，磋商小组将根据采购文件要求对投标人的投标文件进行评审，按规定推荐3名中标候选人，由招标人在中标候选人中自主确定中标人。</w:t>
            </w:r>
          </w:p>
        </w:tc>
      </w:tr>
      <w:tr w14:paraId="356E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vAlign w:val="center"/>
          </w:tcPr>
          <w:p w14:paraId="42E03D4F">
            <w:pPr>
              <w:widowControl/>
              <w:spacing w:line="360" w:lineRule="auto"/>
              <w:ind w:firstLine="240" w:firstLineChars="100"/>
              <w:jc w:val="left"/>
              <w:rPr>
                <w:rFonts w:ascii="宋体" w:hAnsi="宋体" w:cs="宋体"/>
                <w:sz w:val="24"/>
                <w:szCs w:val="24"/>
              </w:rPr>
            </w:pPr>
            <w:r>
              <w:rPr>
                <w:rFonts w:ascii="宋体" w:hAnsi="宋体" w:cs="宋体"/>
                <w:sz w:val="24"/>
                <w:szCs w:val="24"/>
              </w:rPr>
              <w:t>1</w:t>
            </w:r>
            <w:r>
              <w:rPr>
                <w:rFonts w:hint="eastAsia" w:ascii="宋体" w:hAnsi="宋体" w:cs="宋体"/>
                <w:sz w:val="24"/>
                <w:szCs w:val="24"/>
              </w:rPr>
              <w:t>6</w:t>
            </w:r>
          </w:p>
        </w:tc>
        <w:tc>
          <w:tcPr>
            <w:tcW w:w="1898" w:type="dxa"/>
            <w:vAlign w:val="center"/>
          </w:tcPr>
          <w:p w14:paraId="2F9CE767">
            <w:pPr>
              <w:widowControl/>
              <w:spacing w:line="360" w:lineRule="auto"/>
              <w:jc w:val="center"/>
              <w:rPr>
                <w:rFonts w:ascii="宋体" w:hAnsi="宋体" w:cs="宋体"/>
                <w:sz w:val="24"/>
                <w:szCs w:val="24"/>
              </w:rPr>
            </w:pPr>
            <w:r>
              <w:rPr>
                <w:rFonts w:hint="eastAsia" w:ascii="宋体" w:hAnsi="宋体" w:cs="宋体"/>
                <w:sz w:val="24"/>
                <w:szCs w:val="24"/>
              </w:rPr>
              <w:t>报价须知</w:t>
            </w:r>
          </w:p>
        </w:tc>
        <w:tc>
          <w:tcPr>
            <w:tcW w:w="7032" w:type="dxa"/>
            <w:vAlign w:val="center"/>
          </w:tcPr>
          <w:p w14:paraId="31661CE1">
            <w:pPr>
              <w:spacing w:line="360" w:lineRule="auto"/>
              <w:jc w:val="left"/>
              <w:rPr>
                <w:sz w:val="24"/>
                <w:szCs w:val="24"/>
              </w:rPr>
            </w:pPr>
            <w:r>
              <w:rPr>
                <w:rFonts w:hint="eastAsia" w:ascii="宋体" w:hAnsi="宋体"/>
                <w:sz w:val="24"/>
              </w:rPr>
              <w:t>人民币报价，包括但不限于：投标报价中的投标价不得超过招标公告、招标文件规定的预算价，超过规定的预算价的投标文件，按无效投标处理。</w:t>
            </w:r>
          </w:p>
        </w:tc>
      </w:tr>
      <w:tr w14:paraId="3195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vAlign w:val="center"/>
          </w:tcPr>
          <w:p w14:paraId="751540CE">
            <w:pPr>
              <w:widowControl/>
              <w:spacing w:line="360" w:lineRule="auto"/>
              <w:ind w:firstLine="240" w:firstLineChars="100"/>
              <w:jc w:val="left"/>
              <w:rPr>
                <w:sz w:val="24"/>
                <w:szCs w:val="24"/>
              </w:rPr>
            </w:pPr>
            <w:r>
              <w:rPr>
                <w:rFonts w:hint="eastAsia"/>
                <w:sz w:val="24"/>
                <w:szCs w:val="24"/>
              </w:rPr>
              <w:t>17</w:t>
            </w:r>
          </w:p>
        </w:tc>
        <w:tc>
          <w:tcPr>
            <w:tcW w:w="1898" w:type="dxa"/>
            <w:vAlign w:val="center"/>
          </w:tcPr>
          <w:p w14:paraId="4B6411A0">
            <w:pPr>
              <w:widowControl/>
              <w:spacing w:line="360" w:lineRule="auto"/>
              <w:jc w:val="center"/>
              <w:rPr>
                <w:sz w:val="24"/>
                <w:szCs w:val="24"/>
              </w:rPr>
            </w:pPr>
            <w:r>
              <w:rPr>
                <w:rFonts w:hint="eastAsia"/>
                <w:sz w:val="24"/>
                <w:szCs w:val="24"/>
              </w:rPr>
              <w:t>二次报价</w:t>
            </w:r>
          </w:p>
        </w:tc>
        <w:tc>
          <w:tcPr>
            <w:tcW w:w="7032" w:type="dxa"/>
            <w:vAlign w:val="center"/>
          </w:tcPr>
          <w:p w14:paraId="59050B74">
            <w:pPr>
              <w:widowControl/>
              <w:spacing w:line="360" w:lineRule="auto"/>
              <w:jc w:val="left"/>
              <w:rPr>
                <w:sz w:val="24"/>
                <w:szCs w:val="24"/>
              </w:rPr>
            </w:pPr>
            <w:r>
              <w:rPr>
                <w:rFonts w:hint="eastAsia"/>
                <w:sz w:val="24"/>
                <w:szCs w:val="24"/>
              </w:rPr>
              <w:t>二次报价为最终报价，二次报价原则上不高于首次报价。</w:t>
            </w:r>
          </w:p>
        </w:tc>
      </w:tr>
    </w:tbl>
    <w:p w14:paraId="46439280">
      <w:pPr>
        <w:pStyle w:val="5"/>
        <w:pageBreakBefore/>
        <w:spacing w:line="360" w:lineRule="auto"/>
        <w:ind w:firstLine="0"/>
        <w:outlineLvl w:val="1"/>
        <w:rPr>
          <w:sz w:val="24"/>
          <w:szCs w:val="24"/>
        </w:rPr>
      </w:pPr>
      <w:r>
        <w:rPr>
          <w:rFonts w:hint="eastAsia" w:ascii="宋体" w:hAnsi="宋体"/>
          <w:b/>
          <w:bCs/>
          <w:sz w:val="24"/>
          <w:szCs w:val="24"/>
          <w:lang w:val="zh-CN"/>
        </w:rPr>
        <w:t>一、总</w:t>
      </w:r>
      <w:r>
        <w:rPr>
          <w:rFonts w:ascii="宋体" w:hAnsi="宋体"/>
          <w:b/>
          <w:bCs/>
          <w:sz w:val="24"/>
          <w:szCs w:val="24"/>
          <w:lang w:val="zh-CN"/>
        </w:rPr>
        <w:t xml:space="preserve">    </w:t>
      </w:r>
      <w:r>
        <w:rPr>
          <w:rFonts w:hint="eastAsia" w:ascii="宋体" w:hAnsi="宋体"/>
          <w:b/>
          <w:bCs/>
          <w:sz w:val="24"/>
          <w:szCs w:val="24"/>
          <w:lang w:val="zh-CN"/>
        </w:rPr>
        <w:t>则</w:t>
      </w:r>
      <w:bookmarkEnd w:id="55"/>
    </w:p>
    <w:p w14:paraId="295814D0">
      <w:pPr>
        <w:autoSpaceDE w:val="0"/>
        <w:autoSpaceDN w:val="0"/>
        <w:adjustRightInd w:val="0"/>
        <w:spacing w:line="360" w:lineRule="auto"/>
        <w:ind w:firstLine="420"/>
        <w:rPr>
          <w:rFonts w:ascii="宋体" w:hAnsi="宋体"/>
          <w:b/>
          <w:sz w:val="24"/>
          <w:szCs w:val="24"/>
          <w:lang w:val="zh-CN"/>
        </w:rPr>
      </w:pPr>
      <w:r>
        <w:rPr>
          <w:rFonts w:ascii="宋体" w:hAnsi="宋体"/>
          <w:b/>
          <w:sz w:val="24"/>
          <w:szCs w:val="24"/>
          <w:lang w:val="zh-CN"/>
        </w:rPr>
        <w:t>1</w:t>
      </w:r>
      <w:r>
        <w:rPr>
          <w:rFonts w:hint="eastAsia" w:ascii="宋体" w:hAnsi="宋体"/>
          <w:b/>
          <w:sz w:val="24"/>
          <w:szCs w:val="24"/>
          <w:lang w:val="zh-CN"/>
        </w:rPr>
        <w:t>、适用法律</w:t>
      </w:r>
    </w:p>
    <w:p w14:paraId="33234103">
      <w:pPr>
        <w:autoSpaceDE w:val="0"/>
        <w:autoSpaceDN w:val="0"/>
        <w:adjustRightInd w:val="0"/>
        <w:spacing w:line="360" w:lineRule="auto"/>
        <w:ind w:firstLine="420"/>
        <w:rPr>
          <w:rFonts w:ascii="宋体" w:hAnsi="宋体"/>
          <w:sz w:val="24"/>
          <w:szCs w:val="24"/>
          <w:lang w:val="zh-CN"/>
        </w:rPr>
      </w:pPr>
      <w:r>
        <w:rPr>
          <w:rFonts w:ascii="宋体" w:hAnsi="宋体"/>
          <w:sz w:val="24"/>
          <w:szCs w:val="24"/>
          <w:lang w:val="zh-CN"/>
        </w:rPr>
        <w:t>1.1</w:t>
      </w:r>
      <w:r>
        <w:rPr>
          <w:rFonts w:hint="eastAsia" w:ascii="宋体" w:hAnsi="宋体"/>
          <w:sz w:val="24"/>
          <w:szCs w:val="24"/>
          <w:lang w:val="zh-CN"/>
        </w:rPr>
        <w:t xml:space="preserve"> 参照《政府采购竞争性磋商采购方式管理暂行办法》等有关法律、规章和规定等。</w:t>
      </w:r>
    </w:p>
    <w:p w14:paraId="6A81D492">
      <w:pPr>
        <w:autoSpaceDE w:val="0"/>
        <w:autoSpaceDN w:val="0"/>
        <w:adjustRightInd w:val="0"/>
        <w:spacing w:line="360" w:lineRule="auto"/>
        <w:ind w:firstLine="420"/>
        <w:rPr>
          <w:rFonts w:ascii="宋体" w:hAnsi="宋体"/>
          <w:b/>
          <w:sz w:val="24"/>
          <w:szCs w:val="24"/>
          <w:lang w:val="zh-CN"/>
        </w:rPr>
      </w:pPr>
      <w:r>
        <w:rPr>
          <w:rFonts w:ascii="宋体" w:hAnsi="宋体"/>
          <w:b/>
          <w:sz w:val="24"/>
          <w:szCs w:val="24"/>
          <w:lang w:val="zh-CN"/>
        </w:rPr>
        <w:t>2</w:t>
      </w:r>
      <w:r>
        <w:rPr>
          <w:rFonts w:hint="eastAsia" w:ascii="宋体" w:hAnsi="宋体"/>
          <w:b/>
          <w:sz w:val="24"/>
          <w:szCs w:val="24"/>
          <w:lang w:val="zh-CN"/>
        </w:rPr>
        <w:t>、定义</w:t>
      </w:r>
    </w:p>
    <w:p w14:paraId="11C4E5FE">
      <w:pPr>
        <w:autoSpaceDE w:val="0"/>
        <w:autoSpaceDN w:val="0"/>
        <w:adjustRightInd w:val="0"/>
        <w:spacing w:line="360" w:lineRule="auto"/>
        <w:ind w:firstLine="420"/>
        <w:rPr>
          <w:rFonts w:ascii="宋体" w:hAnsi="宋体"/>
          <w:sz w:val="24"/>
          <w:szCs w:val="24"/>
          <w:lang w:val="zh-CN"/>
        </w:rPr>
      </w:pPr>
      <w:r>
        <w:rPr>
          <w:rFonts w:ascii="宋体" w:hAnsi="宋体"/>
          <w:sz w:val="24"/>
          <w:szCs w:val="24"/>
          <w:lang w:val="zh-CN"/>
        </w:rPr>
        <w:t>2.</w:t>
      </w:r>
      <w:r>
        <w:rPr>
          <w:rFonts w:hint="eastAsia" w:ascii="宋体" w:hAnsi="宋体"/>
          <w:sz w:val="24"/>
          <w:szCs w:val="24"/>
          <w:lang w:val="zh-CN"/>
        </w:rPr>
        <w:t>1 “供应商”、“投标人”</w:t>
      </w:r>
      <w:r>
        <w:rPr>
          <w:rFonts w:hint="eastAsia" w:ascii="宋体" w:hAnsi="宋体"/>
          <w:sz w:val="24"/>
          <w:szCs w:val="24"/>
        </w:rPr>
        <w:t>是指参加磋商竞争，并符合采购文件规定资格条件的法人、其他组织或者自然人。</w:t>
      </w:r>
    </w:p>
    <w:p w14:paraId="49B80BE7">
      <w:pPr>
        <w:autoSpaceDE w:val="0"/>
        <w:autoSpaceDN w:val="0"/>
        <w:adjustRightInd w:val="0"/>
        <w:spacing w:line="360" w:lineRule="auto"/>
        <w:ind w:firstLine="420"/>
        <w:rPr>
          <w:rFonts w:ascii="宋体" w:hAnsi="宋体"/>
          <w:b/>
          <w:sz w:val="24"/>
          <w:szCs w:val="24"/>
          <w:lang w:val="zh-CN"/>
        </w:rPr>
      </w:pPr>
      <w:r>
        <w:rPr>
          <w:rFonts w:ascii="宋体" w:hAnsi="宋体"/>
          <w:sz w:val="24"/>
          <w:szCs w:val="24"/>
          <w:lang w:val="zh-CN"/>
        </w:rPr>
        <w:t>2.</w:t>
      </w:r>
      <w:r>
        <w:rPr>
          <w:rFonts w:hint="eastAsia" w:ascii="宋体" w:hAnsi="宋体"/>
          <w:sz w:val="24"/>
          <w:szCs w:val="24"/>
          <w:lang w:val="zh-CN"/>
        </w:rPr>
        <w:t>2“工程、货物或服务”：指采购文件中所述相关工程、货物或服务。</w:t>
      </w:r>
    </w:p>
    <w:p w14:paraId="34AD7376">
      <w:pPr>
        <w:autoSpaceDE w:val="0"/>
        <w:autoSpaceDN w:val="0"/>
        <w:adjustRightInd w:val="0"/>
        <w:spacing w:line="360" w:lineRule="auto"/>
        <w:ind w:firstLine="420"/>
        <w:rPr>
          <w:rFonts w:ascii="宋体" w:hAnsi="宋体"/>
          <w:sz w:val="24"/>
          <w:szCs w:val="24"/>
          <w:lang w:val="zh-CN"/>
        </w:rPr>
      </w:pPr>
      <w:r>
        <w:rPr>
          <w:rFonts w:ascii="宋体" w:hAnsi="宋体"/>
          <w:sz w:val="24"/>
          <w:szCs w:val="24"/>
          <w:lang w:val="zh-CN"/>
        </w:rPr>
        <w:t>2.</w:t>
      </w:r>
      <w:r>
        <w:rPr>
          <w:rFonts w:hint="eastAsia" w:ascii="宋体" w:hAnsi="宋体"/>
          <w:sz w:val="24"/>
          <w:szCs w:val="24"/>
          <w:lang w:val="zh-CN"/>
        </w:rPr>
        <w:t>3 “用户或使用单位”是指本项目采购人。</w:t>
      </w:r>
    </w:p>
    <w:p w14:paraId="7D3347D6">
      <w:pPr>
        <w:autoSpaceDE w:val="0"/>
        <w:autoSpaceDN w:val="0"/>
        <w:adjustRightInd w:val="0"/>
        <w:spacing w:line="360" w:lineRule="auto"/>
        <w:ind w:firstLine="420"/>
        <w:rPr>
          <w:rFonts w:ascii="宋体" w:hAnsi="宋体"/>
          <w:b/>
          <w:sz w:val="24"/>
          <w:szCs w:val="24"/>
          <w:lang w:val="zh-CN"/>
        </w:rPr>
      </w:pPr>
      <w:r>
        <w:rPr>
          <w:rFonts w:hint="eastAsia" w:ascii="宋体" w:hAnsi="宋体"/>
          <w:b/>
          <w:sz w:val="24"/>
          <w:szCs w:val="24"/>
          <w:lang w:val="zh-CN"/>
        </w:rPr>
        <w:t>3、政策功能</w:t>
      </w:r>
    </w:p>
    <w:p w14:paraId="3357D202">
      <w:pPr>
        <w:autoSpaceDE w:val="0"/>
        <w:autoSpaceDN w:val="0"/>
        <w:adjustRightInd w:val="0"/>
        <w:spacing w:line="360" w:lineRule="auto"/>
        <w:ind w:firstLine="420"/>
        <w:rPr>
          <w:rFonts w:ascii="宋体" w:hAnsi="宋体"/>
          <w:sz w:val="24"/>
          <w:szCs w:val="24"/>
          <w:lang w:val="zh-CN"/>
        </w:rPr>
      </w:pPr>
      <w:r>
        <w:rPr>
          <w:rFonts w:hint="eastAsia" w:ascii="宋体" w:hAnsi="宋体"/>
          <w:sz w:val="24"/>
          <w:szCs w:val="24"/>
          <w:lang w:val="zh-CN"/>
        </w:rPr>
        <w:t>不执行政府采购政策。</w:t>
      </w:r>
    </w:p>
    <w:p w14:paraId="4B20548B">
      <w:pPr>
        <w:autoSpaceDE w:val="0"/>
        <w:autoSpaceDN w:val="0"/>
        <w:adjustRightInd w:val="0"/>
        <w:spacing w:line="360" w:lineRule="auto"/>
        <w:ind w:firstLine="420"/>
        <w:rPr>
          <w:rFonts w:ascii="宋体" w:hAnsi="宋体"/>
          <w:b/>
          <w:sz w:val="24"/>
          <w:szCs w:val="24"/>
          <w:lang w:val="zh-CN"/>
        </w:rPr>
      </w:pPr>
      <w:r>
        <w:rPr>
          <w:rFonts w:hint="eastAsia" w:ascii="宋体" w:hAnsi="宋体"/>
          <w:b/>
          <w:sz w:val="24"/>
          <w:szCs w:val="24"/>
          <w:lang w:val="zh-CN"/>
        </w:rPr>
        <w:t>4、磋商费用</w:t>
      </w:r>
    </w:p>
    <w:p w14:paraId="32582CB7">
      <w:pPr>
        <w:tabs>
          <w:tab w:val="left" w:pos="8222"/>
        </w:tabs>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4</w:t>
      </w:r>
      <w:r>
        <w:rPr>
          <w:rFonts w:ascii="宋体" w:hAnsi="宋体"/>
          <w:sz w:val="24"/>
          <w:szCs w:val="24"/>
          <w:lang w:val="zh-CN"/>
        </w:rPr>
        <w:t>.1</w:t>
      </w:r>
      <w:r>
        <w:rPr>
          <w:rFonts w:hint="eastAsia" w:ascii="宋体" w:hAnsi="宋体"/>
          <w:sz w:val="24"/>
          <w:szCs w:val="24"/>
          <w:lang w:val="zh-CN"/>
        </w:rPr>
        <w:t xml:space="preserve"> 供应商应承担所有与准备和参加磋商有关的费用，无论采购结果如何，采购人在任何情况下均无义务和责任承担这些费用。</w:t>
      </w:r>
      <w:bookmarkStart w:id="57" w:name="_Toc115787248"/>
    </w:p>
    <w:p w14:paraId="7BB8489C">
      <w:pPr>
        <w:pStyle w:val="5"/>
        <w:spacing w:line="360" w:lineRule="auto"/>
        <w:ind w:firstLine="0"/>
        <w:outlineLvl w:val="1"/>
        <w:rPr>
          <w:rFonts w:ascii="宋体" w:hAnsi="宋体"/>
          <w:b/>
          <w:bCs/>
          <w:sz w:val="24"/>
          <w:szCs w:val="24"/>
          <w:lang w:val="zh-CN"/>
        </w:rPr>
      </w:pPr>
      <w:r>
        <w:rPr>
          <w:rFonts w:hint="eastAsia" w:ascii="宋体" w:hAnsi="宋体"/>
          <w:b/>
          <w:bCs/>
          <w:sz w:val="24"/>
          <w:szCs w:val="24"/>
          <w:lang w:val="zh-CN"/>
        </w:rPr>
        <w:t>二、响应文件编制</w:t>
      </w:r>
      <w:bookmarkEnd w:id="57"/>
    </w:p>
    <w:p w14:paraId="67C68A98">
      <w:pPr>
        <w:autoSpaceDE w:val="0"/>
        <w:autoSpaceDN w:val="0"/>
        <w:adjustRightInd w:val="0"/>
        <w:snapToGrid w:val="0"/>
        <w:spacing w:line="360" w:lineRule="auto"/>
        <w:ind w:firstLine="420"/>
        <w:rPr>
          <w:rFonts w:ascii="宋体" w:hAnsi="宋体"/>
          <w:b/>
          <w:bCs/>
          <w:sz w:val="24"/>
          <w:szCs w:val="24"/>
          <w:lang w:val="zh-CN"/>
        </w:rPr>
      </w:pPr>
      <w:r>
        <w:rPr>
          <w:rFonts w:hint="eastAsia" w:ascii="宋体" w:hAnsi="宋体"/>
          <w:b/>
          <w:bCs/>
          <w:sz w:val="24"/>
          <w:szCs w:val="24"/>
          <w:lang w:val="zh-CN"/>
        </w:rPr>
        <w:t>5、</w:t>
      </w:r>
      <w:r>
        <w:rPr>
          <w:rFonts w:hint="eastAsia" w:ascii="宋体" w:hAnsi="宋体"/>
          <w:sz w:val="24"/>
          <w:szCs w:val="24"/>
          <w:lang w:val="zh-CN"/>
        </w:rPr>
        <w:t>供应商应当按照磋商文件的要求编制响应文件，并对其提交的响应文件真实性、合法性承担法律责任。</w:t>
      </w:r>
    </w:p>
    <w:p w14:paraId="46BFE839">
      <w:pPr>
        <w:autoSpaceDE w:val="0"/>
        <w:autoSpaceDN w:val="0"/>
        <w:adjustRightInd w:val="0"/>
        <w:snapToGrid w:val="0"/>
        <w:spacing w:line="360" w:lineRule="auto"/>
        <w:ind w:firstLine="420"/>
        <w:rPr>
          <w:rFonts w:ascii="宋体" w:hAnsi="宋体"/>
          <w:b/>
          <w:bCs/>
          <w:sz w:val="24"/>
          <w:szCs w:val="24"/>
          <w:lang w:val="zh-CN"/>
        </w:rPr>
      </w:pPr>
      <w:r>
        <w:rPr>
          <w:rFonts w:hint="eastAsia" w:ascii="宋体" w:hAnsi="宋体"/>
          <w:b/>
          <w:bCs/>
          <w:sz w:val="24"/>
          <w:szCs w:val="24"/>
          <w:lang w:val="zh-CN"/>
        </w:rPr>
        <w:t>6、响应文件的语言、计量单位、货币和编制</w:t>
      </w:r>
    </w:p>
    <w:p w14:paraId="4B3CA7FA">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6</w:t>
      </w:r>
      <w:r>
        <w:rPr>
          <w:rFonts w:ascii="宋体" w:hAnsi="宋体"/>
          <w:sz w:val="24"/>
          <w:szCs w:val="24"/>
          <w:lang w:val="zh-CN"/>
        </w:rPr>
        <w:t>.1</w:t>
      </w:r>
      <w:r>
        <w:rPr>
          <w:rFonts w:hint="eastAsia" w:ascii="宋体" w:hAnsi="宋体"/>
          <w:sz w:val="24"/>
          <w:szCs w:val="24"/>
          <w:lang w:val="zh-CN"/>
        </w:rPr>
        <w:t xml:space="preserve"> 提交的响应文件、技术文件和资料，包括图纸中的说明，以及供应商与采购人就有关磋商的所有来往函电均应使用中文。响应文件中若有英文或其他语言文字的资料，应提供相应的中文翻译资料。对不同文本响应文件的解释发生异议的，以中文文本为准。</w:t>
      </w:r>
    </w:p>
    <w:p w14:paraId="7104F06B">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6</w:t>
      </w:r>
      <w:r>
        <w:rPr>
          <w:rFonts w:ascii="宋体" w:hAnsi="宋体"/>
          <w:sz w:val="24"/>
          <w:szCs w:val="24"/>
          <w:lang w:val="zh-CN"/>
        </w:rPr>
        <w:t>.2</w:t>
      </w:r>
      <w:r>
        <w:rPr>
          <w:rFonts w:hint="eastAsia" w:ascii="宋体" w:hAnsi="宋体"/>
          <w:sz w:val="24"/>
          <w:szCs w:val="24"/>
          <w:lang w:val="zh-CN"/>
        </w:rPr>
        <w:t xml:space="preserve"> 供应商所使用的计量单位应为国家法定计量单位。</w:t>
      </w:r>
    </w:p>
    <w:p w14:paraId="65882777">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6</w:t>
      </w:r>
      <w:r>
        <w:rPr>
          <w:rFonts w:ascii="宋体" w:hAnsi="宋体"/>
          <w:sz w:val="24"/>
          <w:szCs w:val="24"/>
          <w:lang w:val="zh-CN"/>
        </w:rPr>
        <w:t>.3</w:t>
      </w:r>
      <w:r>
        <w:rPr>
          <w:rFonts w:hint="eastAsia" w:ascii="宋体" w:hAnsi="宋体"/>
          <w:sz w:val="24"/>
          <w:szCs w:val="24"/>
          <w:lang w:val="zh-CN"/>
        </w:rPr>
        <w:t xml:space="preserve"> 供应商应用人民币报价。</w:t>
      </w:r>
    </w:p>
    <w:p w14:paraId="335EDDF8">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6</w:t>
      </w:r>
      <w:r>
        <w:rPr>
          <w:rFonts w:ascii="宋体" w:hAnsi="宋体"/>
          <w:sz w:val="24"/>
          <w:szCs w:val="24"/>
          <w:lang w:val="zh-CN"/>
        </w:rPr>
        <w:t>.4</w:t>
      </w:r>
      <w:r>
        <w:rPr>
          <w:rFonts w:hint="eastAsia" w:ascii="宋体" w:hAnsi="宋体"/>
          <w:sz w:val="24"/>
          <w:szCs w:val="24"/>
          <w:lang w:val="zh-CN"/>
        </w:rPr>
        <w:t xml:space="preserve"> 响应文件应字迹清楚、内容齐全、不得涂改。如有修改，修改处须有供应商公章或法定代表人或其授权磋商代表签字。</w:t>
      </w:r>
    </w:p>
    <w:p w14:paraId="59762F7C">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6</w:t>
      </w:r>
      <w:r>
        <w:rPr>
          <w:rFonts w:ascii="宋体" w:hAnsi="宋体"/>
          <w:sz w:val="24"/>
          <w:szCs w:val="24"/>
          <w:lang w:val="zh-CN"/>
        </w:rPr>
        <w:t>.5</w:t>
      </w:r>
      <w:r>
        <w:rPr>
          <w:rFonts w:hint="eastAsia" w:ascii="宋体" w:hAnsi="宋体"/>
          <w:sz w:val="24"/>
          <w:szCs w:val="24"/>
          <w:lang w:val="zh-CN"/>
        </w:rPr>
        <w:t xml:space="preserve"> 响应文件应按照磋商文件规定的顺序，统一用</w:t>
      </w:r>
      <w:r>
        <w:rPr>
          <w:rFonts w:ascii="宋体" w:hAnsi="宋体"/>
          <w:sz w:val="24"/>
          <w:szCs w:val="24"/>
          <w:lang w:val="zh-CN"/>
        </w:rPr>
        <w:t>A4</w:t>
      </w:r>
      <w:r>
        <w:rPr>
          <w:rFonts w:hint="eastAsia" w:ascii="宋体" w:hAnsi="宋体"/>
          <w:sz w:val="24"/>
          <w:szCs w:val="24"/>
          <w:lang w:val="zh-CN"/>
        </w:rPr>
        <w:t>规格幅面打印、装订成册并编制目录，由于编排混乱导致响应文件被误读或查找不到，责任由供应商承担。</w:t>
      </w:r>
    </w:p>
    <w:p w14:paraId="26089153">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6</w:t>
      </w:r>
      <w:r>
        <w:rPr>
          <w:rFonts w:ascii="宋体" w:hAnsi="宋体"/>
          <w:sz w:val="24"/>
          <w:szCs w:val="24"/>
          <w:lang w:val="zh-CN"/>
        </w:rPr>
        <w:t>.6</w:t>
      </w:r>
      <w:r>
        <w:rPr>
          <w:rFonts w:hint="eastAsia" w:ascii="宋体" w:hAnsi="宋体"/>
          <w:sz w:val="24"/>
          <w:szCs w:val="24"/>
          <w:lang w:val="zh-CN"/>
        </w:rPr>
        <w:t xml:space="preserve"> 供应商应在响应文件中写清相应的采购编号、项目名称、供应商名称、地址、电话、传真等。</w:t>
      </w:r>
    </w:p>
    <w:p w14:paraId="31BBD87F">
      <w:pPr>
        <w:autoSpaceDE w:val="0"/>
        <w:autoSpaceDN w:val="0"/>
        <w:adjustRightInd w:val="0"/>
        <w:snapToGrid w:val="0"/>
        <w:spacing w:line="360" w:lineRule="auto"/>
        <w:ind w:firstLine="420"/>
        <w:rPr>
          <w:rFonts w:ascii="宋体" w:hAnsi="宋体"/>
          <w:b/>
          <w:bCs/>
          <w:sz w:val="24"/>
          <w:szCs w:val="24"/>
          <w:lang w:val="zh-CN"/>
        </w:rPr>
      </w:pPr>
      <w:r>
        <w:rPr>
          <w:rFonts w:hint="eastAsia" w:ascii="宋体" w:hAnsi="宋体"/>
          <w:b/>
          <w:bCs/>
          <w:sz w:val="24"/>
          <w:szCs w:val="24"/>
          <w:lang w:val="zh-CN"/>
        </w:rPr>
        <w:t>7、响应文件的组成</w:t>
      </w:r>
    </w:p>
    <w:p w14:paraId="0E6D5496">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7</w:t>
      </w:r>
      <w:r>
        <w:rPr>
          <w:rFonts w:ascii="宋体" w:hAnsi="宋体"/>
          <w:sz w:val="24"/>
          <w:szCs w:val="24"/>
          <w:lang w:val="zh-CN"/>
        </w:rPr>
        <w:t>.1</w:t>
      </w:r>
      <w:r>
        <w:rPr>
          <w:rFonts w:hint="eastAsia" w:ascii="宋体" w:hAnsi="宋体"/>
          <w:sz w:val="24"/>
          <w:szCs w:val="24"/>
          <w:lang w:val="zh-CN"/>
        </w:rPr>
        <w:t xml:space="preserve"> </w:t>
      </w:r>
      <w:r>
        <w:rPr>
          <w:rFonts w:hint="eastAsia" w:ascii="宋体" w:hAnsi="宋体"/>
          <w:sz w:val="24"/>
          <w:szCs w:val="24"/>
        </w:rPr>
        <w:t>供应商应当根据磋商文件要求编制响应文件，并根据自己的商务能力、技术水平对磋商文件提出的要求和条件标明是否响应。</w:t>
      </w:r>
      <w:r>
        <w:rPr>
          <w:rFonts w:hint="eastAsia" w:ascii="宋体" w:hAnsi="宋体"/>
          <w:sz w:val="24"/>
          <w:szCs w:val="24"/>
          <w:lang w:val="zh-CN"/>
        </w:rPr>
        <w:t>响应文件由商务部分、技术部分、价格部分，以及其他部分组成。</w:t>
      </w:r>
    </w:p>
    <w:p w14:paraId="1352A6CF">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bCs/>
          <w:sz w:val="24"/>
          <w:szCs w:val="24"/>
          <w:lang w:val="zh-CN"/>
        </w:rPr>
        <w:t xml:space="preserve">7.2 </w:t>
      </w:r>
      <w:r>
        <w:rPr>
          <w:rFonts w:hint="eastAsia" w:ascii="宋体" w:hAnsi="宋体"/>
          <w:b/>
          <w:bCs/>
          <w:sz w:val="24"/>
          <w:szCs w:val="24"/>
          <w:lang w:val="zh-CN"/>
        </w:rPr>
        <w:t>响应文件的商务部分。</w:t>
      </w:r>
      <w:r>
        <w:rPr>
          <w:rFonts w:hint="eastAsia" w:ascii="宋体" w:hAnsi="宋体"/>
          <w:sz w:val="24"/>
          <w:szCs w:val="24"/>
          <w:lang w:val="zh-CN"/>
        </w:rPr>
        <w:t>商务部分是证明供应商有资格参加磋商和成交后有能力履行合同的文件，</w:t>
      </w:r>
      <w:r>
        <w:rPr>
          <w:rFonts w:hint="eastAsia" w:ascii="宋体" w:hAnsi="宋体"/>
          <w:sz w:val="24"/>
          <w:szCs w:val="24"/>
        </w:rPr>
        <w:t>这些文件应能满足竞争性磋商采购文件的要求</w:t>
      </w:r>
      <w:r>
        <w:rPr>
          <w:rFonts w:hint="eastAsia" w:ascii="宋体" w:hAnsi="宋体"/>
          <w:sz w:val="24"/>
          <w:szCs w:val="24"/>
          <w:lang w:val="zh-CN"/>
        </w:rPr>
        <w:t>，包括但不限于下列文件，其中加</w:t>
      </w:r>
      <w:r>
        <w:rPr>
          <w:rFonts w:hint="eastAsia" w:ascii="宋体" w:hAnsi="宋体"/>
          <w:b/>
          <w:sz w:val="24"/>
          <w:szCs w:val="24"/>
        </w:rPr>
        <w:t>★</w:t>
      </w:r>
      <w:r>
        <w:rPr>
          <w:rFonts w:hint="eastAsia" w:ascii="宋体" w:hAnsi="宋体"/>
          <w:sz w:val="24"/>
          <w:szCs w:val="24"/>
          <w:lang w:val="zh-CN"/>
        </w:rPr>
        <w:t>项目不得有缺失或无效：</w:t>
      </w:r>
    </w:p>
    <w:p w14:paraId="64D5FC09">
      <w:pPr>
        <w:autoSpaceDE w:val="0"/>
        <w:autoSpaceDN w:val="0"/>
        <w:adjustRightInd w:val="0"/>
        <w:snapToGrid w:val="0"/>
        <w:spacing w:line="360" w:lineRule="auto"/>
        <w:ind w:firstLine="420"/>
        <w:jc w:val="left"/>
        <w:rPr>
          <w:rFonts w:ascii="宋体" w:hAnsi="宋体"/>
          <w:sz w:val="24"/>
          <w:szCs w:val="24"/>
          <w:lang w:val="zh-CN"/>
        </w:rPr>
      </w:pPr>
      <w:r>
        <w:rPr>
          <w:rFonts w:hint="eastAsia" w:ascii="宋体" w:hAnsi="宋体"/>
          <w:sz w:val="24"/>
          <w:szCs w:val="24"/>
          <w:lang w:val="zh-CN"/>
        </w:rPr>
        <w:t>（</w:t>
      </w:r>
      <w:r>
        <w:rPr>
          <w:rFonts w:ascii="宋体" w:hAnsi="宋体"/>
          <w:sz w:val="24"/>
          <w:szCs w:val="24"/>
          <w:lang w:val="zh-CN"/>
        </w:rPr>
        <w:t>1</w:t>
      </w:r>
      <w:r>
        <w:rPr>
          <w:rFonts w:hint="eastAsia" w:ascii="宋体" w:hAnsi="宋体"/>
          <w:sz w:val="24"/>
          <w:szCs w:val="24"/>
          <w:lang w:val="zh-CN"/>
        </w:rPr>
        <w:t>）</w:t>
      </w:r>
      <w:r>
        <w:rPr>
          <w:rFonts w:hint="eastAsia" w:ascii="宋体" w:hAnsi="宋体"/>
          <w:b/>
          <w:sz w:val="24"/>
          <w:szCs w:val="24"/>
        </w:rPr>
        <w:t>★</w:t>
      </w:r>
      <w:r>
        <w:rPr>
          <w:rFonts w:hint="eastAsia" w:ascii="宋体" w:hAnsi="宋体"/>
          <w:sz w:val="24"/>
          <w:szCs w:val="24"/>
          <w:lang w:val="zh-CN"/>
        </w:rPr>
        <w:t>磋商申请及声明；</w:t>
      </w:r>
    </w:p>
    <w:p w14:paraId="0032BEE3">
      <w:pPr>
        <w:widowControl/>
        <w:adjustRightInd w:val="0"/>
        <w:snapToGrid w:val="0"/>
        <w:spacing w:line="360" w:lineRule="auto"/>
        <w:ind w:firstLine="420"/>
        <w:jc w:val="left"/>
        <w:rPr>
          <w:rFonts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b/>
          <w:sz w:val="24"/>
          <w:szCs w:val="24"/>
        </w:rPr>
        <w:t>★</w:t>
      </w:r>
      <w:r>
        <w:rPr>
          <w:rFonts w:hint="eastAsia" w:ascii="宋体" w:hAnsi="宋体" w:cs="宋体"/>
          <w:kern w:val="0"/>
          <w:sz w:val="24"/>
          <w:szCs w:val="24"/>
          <w:lang w:val="zh-CN"/>
        </w:rPr>
        <w:t>法定代表人授权委托书及委托代理人的身份证复印件；</w:t>
      </w:r>
    </w:p>
    <w:p w14:paraId="35D1C73C">
      <w:pPr>
        <w:widowControl/>
        <w:adjustRightInd w:val="0"/>
        <w:snapToGrid w:val="0"/>
        <w:spacing w:line="360" w:lineRule="auto"/>
        <w:ind w:firstLine="420"/>
        <w:jc w:val="left"/>
        <w:rPr>
          <w:rFonts w:ascii="宋体" w:hAnsi="宋体" w:cs="宋体"/>
          <w:kern w:val="0"/>
          <w:sz w:val="24"/>
          <w:szCs w:val="24"/>
          <w:lang w:val="zh-CN"/>
        </w:rPr>
      </w:pPr>
      <w:r>
        <w:rPr>
          <w:rFonts w:hint="eastAsia" w:ascii="宋体" w:hAnsi="宋体" w:cs="宋体"/>
          <w:kern w:val="0"/>
          <w:sz w:val="24"/>
          <w:szCs w:val="24"/>
          <w:lang w:val="zh-CN"/>
        </w:rPr>
        <w:t>（3）</w:t>
      </w:r>
      <w:r>
        <w:rPr>
          <w:rFonts w:hint="eastAsia" w:ascii="宋体" w:hAnsi="宋体"/>
          <w:b/>
          <w:sz w:val="24"/>
          <w:szCs w:val="24"/>
        </w:rPr>
        <w:t>★</w:t>
      </w:r>
      <w:r>
        <w:rPr>
          <w:rFonts w:hint="eastAsia" w:ascii="宋体" w:hAnsi="宋体"/>
          <w:sz w:val="24"/>
          <w:szCs w:val="24"/>
          <w:lang w:val="zh-CN"/>
        </w:rPr>
        <w:t>第一</w:t>
      </w:r>
      <w:r>
        <w:rPr>
          <w:rFonts w:hint="eastAsia" w:ascii="宋体" w:hAnsi="宋体" w:cs="宋体"/>
          <w:kern w:val="0"/>
          <w:sz w:val="24"/>
          <w:szCs w:val="24"/>
        </w:rPr>
        <w:t>章竞争性磋商邀请中</w:t>
      </w:r>
      <w:r>
        <w:rPr>
          <w:rFonts w:hint="eastAsia" w:ascii="宋体" w:hAnsi="宋体"/>
          <w:sz w:val="24"/>
          <w:szCs w:val="24"/>
          <w:lang w:val="zh-CN"/>
        </w:rPr>
        <w:t>的资格要求规定的证明文件</w:t>
      </w:r>
      <w:r>
        <w:rPr>
          <w:rFonts w:hint="eastAsia" w:ascii="宋体" w:hAnsi="宋体" w:cs="宋体"/>
          <w:kern w:val="0"/>
          <w:sz w:val="24"/>
          <w:szCs w:val="24"/>
          <w:lang w:val="zh-CN"/>
        </w:rPr>
        <w:t>；</w:t>
      </w:r>
    </w:p>
    <w:p w14:paraId="346BF99F">
      <w:pPr>
        <w:adjustRightInd w:val="0"/>
        <w:snapToGrid w:val="0"/>
        <w:spacing w:line="360" w:lineRule="auto"/>
        <w:ind w:firstLine="424" w:firstLineChars="177"/>
        <w:rPr>
          <w:rFonts w:ascii="宋体" w:hAnsi="宋体"/>
          <w:kern w:val="0"/>
          <w:sz w:val="24"/>
          <w:szCs w:val="24"/>
          <w:lang w:val="zh-CN"/>
        </w:rPr>
      </w:pPr>
      <w:r>
        <w:rPr>
          <w:rFonts w:hint="eastAsia" w:ascii="宋体" w:hAnsi="宋体"/>
          <w:sz w:val="24"/>
          <w:szCs w:val="24"/>
        </w:rPr>
        <w:t>（4）供应商认为需要</w:t>
      </w:r>
      <w:r>
        <w:rPr>
          <w:rFonts w:hint="eastAsia" w:ascii="宋体" w:hAnsi="宋体"/>
          <w:kern w:val="0"/>
          <w:sz w:val="24"/>
          <w:szCs w:val="24"/>
          <w:lang w:val="zh-CN"/>
        </w:rPr>
        <w:t>提供的其他资格证明文件和商务资料（如有）。</w:t>
      </w:r>
    </w:p>
    <w:p w14:paraId="2D541437">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bCs/>
          <w:sz w:val="24"/>
          <w:szCs w:val="24"/>
          <w:lang w:val="zh-CN"/>
        </w:rPr>
        <w:t xml:space="preserve">7.3 </w:t>
      </w:r>
      <w:r>
        <w:rPr>
          <w:rFonts w:hint="eastAsia" w:ascii="宋体" w:hAnsi="宋体"/>
          <w:b/>
          <w:bCs/>
          <w:sz w:val="24"/>
          <w:szCs w:val="24"/>
          <w:lang w:val="zh-CN"/>
        </w:rPr>
        <w:t>响应文件的技术部分。</w:t>
      </w:r>
      <w:r>
        <w:rPr>
          <w:rFonts w:hint="eastAsia" w:ascii="宋体" w:hAnsi="宋体"/>
          <w:sz w:val="24"/>
          <w:szCs w:val="24"/>
          <w:lang w:val="zh-CN"/>
        </w:rPr>
        <w:t>技术部分是证明</w:t>
      </w:r>
      <w:r>
        <w:rPr>
          <w:rFonts w:hint="eastAsia" w:ascii="宋体" w:hAnsi="宋体"/>
          <w:sz w:val="24"/>
          <w:szCs w:val="24"/>
        </w:rPr>
        <w:t>供应商提供的服务是合格的，并符合磋商文件要求的证明文件，以及</w:t>
      </w:r>
      <w:r>
        <w:rPr>
          <w:rFonts w:hint="eastAsia" w:ascii="宋体" w:hAnsi="宋体"/>
          <w:sz w:val="24"/>
          <w:szCs w:val="24"/>
          <w:lang w:val="zh-CN"/>
        </w:rPr>
        <w:t>对项目需求中功能、技术、服务等的详细说明，这些文件可以是文字资料、图纸和数据等。提供的服务如与磋商文件要求有不符之处，应说明其差别之所在。包括但不限于下列文件，其中加</w:t>
      </w:r>
      <w:r>
        <w:rPr>
          <w:rFonts w:hint="eastAsia" w:ascii="宋体" w:hAnsi="宋体"/>
          <w:sz w:val="24"/>
          <w:szCs w:val="24"/>
        </w:rPr>
        <w:t>“</w:t>
      </w:r>
      <w:r>
        <w:rPr>
          <w:rFonts w:hint="eastAsia" w:ascii="宋体" w:hAnsi="宋体"/>
          <w:b/>
          <w:sz w:val="24"/>
          <w:szCs w:val="24"/>
        </w:rPr>
        <w:t>★</w:t>
      </w:r>
      <w:r>
        <w:rPr>
          <w:rFonts w:hint="eastAsia" w:ascii="宋体" w:hAnsi="宋体"/>
          <w:sz w:val="24"/>
          <w:szCs w:val="24"/>
        </w:rPr>
        <w:t>”</w:t>
      </w:r>
      <w:r>
        <w:rPr>
          <w:rFonts w:hint="eastAsia" w:ascii="宋体" w:hAnsi="宋体"/>
          <w:sz w:val="24"/>
          <w:szCs w:val="24"/>
          <w:lang w:val="zh-CN"/>
        </w:rPr>
        <w:t>项目不得有缺失或无效：</w:t>
      </w:r>
    </w:p>
    <w:p w14:paraId="0D985873">
      <w:pPr>
        <w:autoSpaceDE w:val="0"/>
        <w:autoSpaceDN w:val="0"/>
        <w:adjustRightInd w:val="0"/>
        <w:snapToGrid w:val="0"/>
        <w:spacing w:line="360" w:lineRule="auto"/>
        <w:ind w:firstLine="420"/>
        <w:rPr>
          <w:rFonts w:ascii="宋体" w:hAnsi="宋体" w:cs="宋体"/>
          <w:kern w:val="0"/>
          <w:sz w:val="24"/>
          <w:szCs w:val="24"/>
          <w:lang w:val="zh-CN"/>
        </w:rPr>
      </w:pPr>
      <w:r>
        <w:rPr>
          <w:rFonts w:hint="eastAsia" w:ascii="宋体" w:hAnsi="宋体" w:cs="宋体"/>
          <w:kern w:val="0"/>
          <w:sz w:val="24"/>
          <w:szCs w:val="24"/>
          <w:lang w:val="zh-CN"/>
        </w:rPr>
        <w:t>（1）技术服务内容的详细说明；</w:t>
      </w:r>
    </w:p>
    <w:p w14:paraId="2885FEC8">
      <w:pPr>
        <w:autoSpaceDE w:val="0"/>
        <w:autoSpaceDN w:val="0"/>
        <w:adjustRightInd w:val="0"/>
        <w:snapToGrid w:val="0"/>
        <w:spacing w:line="360" w:lineRule="auto"/>
        <w:ind w:firstLine="420"/>
        <w:rPr>
          <w:rFonts w:ascii="宋体" w:hAnsi="宋体" w:cs="宋体"/>
          <w:kern w:val="0"/>
          <w:sz w:val="24"/>
          <w:szCs w:val="24"/>
          <w:lang w:val="zh-CN"/>
        </w:rPr>
      </w:pPr>
      <w:r>
        <w:rPr>
          <w:rFonts w:hint="eastAsia" w:ascii="宋体" w:hAnsi="宋体" w:cs="宋体"/>
          <w:kern w:val="0"/>
          <w:sz w:val="24"/>
          <w:szCs w:val="24"/>
          <w:lang w:val="zh-CN"/>
        </w:rPr>
        <w:t>（2）项目实施方案；</w:t>
      </w:r>
    </w:p>
    <w:p w14:paraId="378C11AD">
      <w:pPr>
        <w:autoSpaceDE w:val="0"/>
        <w:autoSpaceDN w:val="0"/>
        <w:adjustRightInd w:val="0"/>
        <w:snapToGrid w:val="0"/>
        <w:spacing w:line="360" w:lineRule="auto"/>
        <w:ind w:firstLine="420"/>
        <w:rPr>
          <w:rFonts w:ascii="宋体" w:hAnsi="宋体" w:cs="宋体"/>
          <w:kern w:val="0"/>
          <w:sz w:val="24"/>
          <w:szCs w:val="24"/>
          <w:lang w:val="zh-CN"/>
        </w:rPr>
      </w:pPr>
      <w:r>
        <w:rPr>
          <w:rFonts w:hint="eastAsia" w:ascii="宋体" w:hAnsi="宋体" w:cs="宋体"/>
          <w:kern w:val="0"/>
          <w:sz w:val="24"/>
          <w:szCs w:val="24"/>
          <w:lang w:val="zh-CN"/>
        </w:rPr>
        <w:t>（3）项目验收标准；</w:t>
      </w:r>
    </w:p>
    <w:p w14:paraId="138EFD95">
      <w:pPr>
        <w:autoSpaceDE w:val="0"/>
        <w:autoSpaceDN w:val="0"/>
        <w:adjustRightInd w:val="0"/>
        <w:snapToGrid w:val="0"/>
        <w:spacing w:line="360" w:lineRule="auto"/>
        <w:ind w:firstLine="420"/>
        <w:rPr>
          <w:rFonts w:ascii="宋体" w:hAnsi="宋体" w:cs="宋体"/>
          <w:kern w:val="0"/>
          <w:sz w:val="24"/>
          <w:szCs w:val="24"/>
          <w:lang w:val="zh-CN"/>
        </w:rPr>
      </w:pPr>
      <w:r>
        <w:rPr>
          <w:rFonts w:hint="eastAsia" w:ascii="宋体" w:hAnsi="宋体" w:cs="宋体"/>
          <w:kern w:val="0"/>
          <w:sz w:val="24"/>
          <w:szCs w:val="24"/>
          <w:lang w:val="zh-CN"/>
        </w:rPr>
        <w:t>（4）服务承诺；</w:t>
      </w:r>
    </w:p>
    <w:p w14:paraId="5CDAFF7E">
      <w:pPr>
        <w:autoSpaceDE w:val="0"/>
        <w:autoSpaceDN w:val="0"/>
        <w:adjustRightInd w:val="0"/>
        <w:snapToGrid w:val="0"/>
        <w:spacing w:line="360" w:lineRule="auto"/>
        <w:ind w:firstLine="420"/>
        <w:rPr>
          <w:rFonts w:ascii="宋体" w:hAnsi="宋体" w:cs="宋体"/>
          <w:kern w:val="0"/>
          <w:sz w:val="24"/>
          <w:szCs w:val="24"/>
          <w:lang w:val="zh-CN"/>
        </w:rPr>
      </w:pPr>
      <w:r>
        <w:rPr>
          <w:rFonts w:hint="eastAsia" w:ascii="宋体" w:hAnsi="宋体" w:cs="宋体"/>
          <w:kern w:val="0"/>
          <w:sz w:val="24"/>
          <w:szCs w:val="24"/>
          <w:lang w:val="zh-CN"/>
        </w:rPr>
        <w:t>（5）技术偏离表（自行编制）</w:t>
      </w:r>
    </w:p>
    <w:p w14:paraId="6FA2E789">
      <w:pPr>
        <w:autoSpaceDE w:val="0"/>
        <w:autoSpaceDN w:val="0"/>
        <w:adjustRightInd w:val="0"/>
        <w:snapToGrid w:val="0"/>
        <w:spacing w:line="360" w:lineRule="auto"/>
        <w:ind w:firstLine="420"/>
        <w:rPr>
          <w:rFonts w:ascii="宋体" w:hAnsi="宋体" w:cs="宋体"/>
          <w:kern w:val="0"/>
          <w:sz w:val="24"/>
          <w:szCs w:val="24"/>
          <w:lang w:val="zh-CN"/>
        </w:rPr>
      </w:pPr>
      <w:r>
        <w:rPr>
          <w:rFonts w:hint="eastAsia" w:ascii="宋体" w:hAnsi="宋体" w:cs="宋体"/>
          <w:kern w:val="0"/>
          <w:sz w:val="24"/>
          <w:szCs w:val="24"/>
          <w:lang w:val="zh-CN"/>
        </w:rPr>
        <w:t>（6）供应商认为需要提供的其他技术资料。</w:t>
      </w:r>
    </w:p>
    <w:p w14:paraId="57996BA1">
      <w:pPr>
        <w:autoSpaceDE w:val="0"/>
        <w:autoSpaceDN w:val="0"/>
        <w:adjustRightInd w:val="0"/>
        <w:snapToGrid w:val="0"/>
        <w:spacing w:line="360" w:lineRule="auto"/>
        <w:ind w:firstLine="420"/>
        <w:rPr>
          <w:rFonts w:ascii="宋体" w:hAnsi="宋体"/>
          <w:b/>
          <w:sz w:val="24"/>
          <w:szCs w:val="24"/>
          <w:lang w:val="zh-CN"/>
        </w:rPr>
      </w:pPr>
      <w:r>
        <w:rPr>
          <w:rFonts w:hint="eastAsia" w:ascii="宋体" w:hAnsi="宋体"/>
          <w:sz w:val="24"/>
          <w:szCs w:val="24"/>
          <w:lang w:val="zh-CN"/>
        </w:rPr>
        <w:t xml:space="preserve">7.4 </w:t>
      </w:r>
      <w:r>
        <w:rPr>
          <w:rFonts w:hint="eastAsia" w:ascii="宋体" w:hAnsi="宋体"/>
          <w:b/>
          <w:sz w:val="24"/>
          <w:szCs w:val="24"/>
          <w:lang w:val="zh-CN"/>
        </w:rPr>
        <w:t>响应文件的价格部分</w:t>
      </w:r>
    </w:p>
    <w:p w14:paraId="33C2D8E1">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（1）价格部分是对服务价格构成的说明，磋商文件如没有特别说明的话，对每一项服务仅接受一个价格。</w:t>
      </w:r>
    </w:p>
    <w:p w14:paraId="5506FDF6">
      <w:pPr>
        <w:autoSpaceDE w:val="0"/>
        <w:autoSpaceDN w:val="0"/>
        <w:adjustRightInd w:val="0"/>
        <w:snapToGrid w:val="0"/>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（2）报价应包含完成本项目发生的所有含税费用、支付给员工的工资（不得低于供应商所在地最低工资标准）和国家强制缴纳的各种社会保障资金、公积金，以及供应商认为需要的其他费用等。</w:t>
      </w:r>
    </w:p>
    <w:p w14:paraId="0849B87D">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（3）供应商应充分考虑到市场价格变动，以及项目实施过程中的不可预见因素，一旦成交，结算综合单价不变。如果由于投标人原因导致的价格漏项，视同为让利。</w:t>
      </w:r>
    </w:p>
    <w:p w14:paraId="0F373907">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（4）磋商文件和磋商情况如无实质性变动，磋商最终报价不得高于首轮报价。</w:t>
      </w:r>
    </w:p>
    <w:p w14:paraId="54937C10">
      <w:pPr>
        <w:autoSpaceDE w:val="0"/>
        <w:autoSpaceDN w:val="0"/>
        <w:adjustRightInd w:val="0"/>
        <w:snapToGrid w:val="0"/>
        <w:spacing w:line="360" w:lineRule="auto"/>
        <w:ind w:firstLine="420"/>
        <w:rPr>
          <w:rFonts w:ascii="宋体" w:hAnsi="宋体"/>
          <w:b/>
          <w:sz w:val="24"/>
          <w:szCs w:val="24"/>
          <w:lang w:val="zh-CN"/>
        </w:rPr>
      </w:pPr>
      <w:r>
        <w:rPr>
          <w:rFonts w:hint="eastAsia" w:ascii="宋体" w:hAnsi="宋体"/>
          <w:b/>
          <w:sz w:val="24"/>
          <w:szCs w:val="24"/>
          <w:lang w:val="zh-CN"/>
        </w:rPr>
        <w:t>7.5 响应文件的其他部分。</w:t>
      </w:r>
    </w:p>
    <w:p w14:paraId="390B4655">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其他部分由供应商根据编制响应文件需要提供的其他相关文件。</w:t>
      </w:r>
    </w:p>
    <w:p w14:paraId="00960087">
      <w:pPr>
        <w:autoSpaceDE w:val="0"/>
        <w:autoSpaceDN w:val="0"/>
        <w:adjustRightInd w:val="0"/>
        <w:snapToGrid w:val="0"/>
        <w:spacing w:line="360" w:lineRule="auto"/>
        <w:ind w:firstLine="420"/>
        <w:rPr>
          <w:rFonts w:ascii="宋体" w:hAnsi="宋体"/>
          <w:b/>
          <w:sz w:val="24"/>
          <w:szCs w:val="24"/>
          <w:lang w:val="zh-CN"/>
        </w:rPr>
      </w:pPr>
      <w:r>
        <w:rPr>
          <w:rFonts w:hint="eastAsia" w:ascii="宋体" w:hAnsi="宋体"/>
          <w:b/>
          <w:sz w:val="24"/>
          <w:szCs w:val="24"/>
          <w:lang w:val="zh-CN"/>
        </w:rPr>
        <w:t>8、磋商保证金</w:t>
      </w:r>
    </w:p>
    <w:p w14:paraId="159EDFC3">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 xml:space="preserve">  8.1供应商应按照磋商文件提交磋商保证金，并作为其参加磋商的一部分。</w:t>
      </w:r>
    </w:p>
    <w:p w14:paraId="0AFAEF78">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 xml:space="preserve">  8.2磋商保证金应按照磋商邀请规定的数额和办法缴纳。</w:t>
      </w:r>
    </w:p>
    <w:p w14:paraId="57C19357">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 xml:space="preserve">  8.3未成交供应商的磋商保证金，将在成交通知书发出之日起五个工作日内无息退还。未成交供应商应主动与采购采购人联系，办理磋商保证金退还事宜。由于供应商的自身原因未及时办理磋商保证金退还的，其责任和由此造成的后果由供应商自行承担。</w:t>
      </w:r>
    </w:p>
    <w:p w14:paraId="383E5067">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 xml:space="preserve">  8.4成交供应商的磋商保证金，将在采购合同签订之日起五个工作日内无息退还。</w:t>
      </w:r>
    </w:p>
    <w:p w14:paraId="499F4ED7">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 xml:space="preserve">  8.5下列任何情况发生时，磋商保证金不予退还：</w:t>
      </w:r>
    </w:p>
    <w:p w14:paraId="7FA07C9F">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 xml:space="preserve">  （1）投标有效期内撤回其投标的；</w:t>
      </w:r>
    </w:p>
    <w:p w14:paraId="4AD9DCE4">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 xml:space="preserve">  （2）成交通知书发出后三十天内，成交供应商未与采购人签订合同的；</w:t>
      </w:r>
    </w:p>
    <w:p w14:paraId="22FBFDDB">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 xml:space="preserve">  （3）提供虚假材料谋取中标的；</w:t>
      </w:r>
    </w:p>
    <w:p w14:paraId="38468B08">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 xml:space="preserve">  （4）经查实属于陪标、串通投标的等。</w:t>
      </w:r>
    </w:p>
    <w:p w14:paraId="05508EE5">
      <w:pPr>
        <w:pStyle w:val="5"/>
        <w:spacing w:line="360" w:lineRule="auto"/>
        <w:ind w:firstLine="0"/>
        <w:outlineLvl w:val="1"/>
        <w:rPr>
          <w:rFonts w:ascii="宋体" w:hAnsi="宋体"/>
          <w:b/>
          <w:bCs/>
          <w:sz w:val="24"/>
          <w:szCs w:val="24"/>
          <w:lang w:val="zh-CN"/>
        </w:rPr>
      </w:pPr>
      <w:bookmarkStart w:id="58" w:name="_Toc115787249"/>
      <w:r>
        <w:rPr>
          <w:rFonts w:hint="eastAsia" w:ascii="宋体" w:hAnsi="宋体"/>
          <w:b/>
          <w:bCs/>
          <w:sz w:val="24"/>
          <w:szCs w:val="24"/>
          <w:lang w:val="zh-CN"/>
        </w:rPr>
        <w:t>三、响应文件签署与提交</w:t>
      </w:r>
      <w:bookmarkEnd w:id="58"/>
    </w:p>
    <w:p w14:paraId="7E86AAA0">
      <w:pPr>
        <w:autoSpaceDE w:val="0"/>
        <w:autoSpaceDN w:val="0"/>
        <w:adjustRightInd w:val="0"/>
        <w:snapToGrid w:val="0"/>
        <w:spacing w:line="360" w:lineRule="auto"/>
        <w:ind w:firstLine="420"/>
        <w:rPr>
          <w:rFonts w:ascii="宋体" w:hAnsi="宋体"/>
          <w:b/>
          <w:bCs/>
          <w:sz w:val="24"/>
          <w:szCs w:val="24"/>
          <w:lang w:val="zh-CN"/>
        </w:rPr>
      </w:pPr>
      <w:r>
        <w:rPr>
          <w:rFonts w:hint="eastAsia" w:ascii="宋体" w:hAnsi="宋体"/>
          <w:b/>
          <w:bCs/>
          <w:sz w:val="24"/>
          <w:szCs w:val="24"/>
          <w:lang w:val="zh-CN"/>
        </w:rPr>
        <w:t>9、响应文件签署</w:t>
      </w:r>
    </w:p>
    <w:p w14:paraId="0F4CA840">
      <w:pPr>
        <w:autoSpaceDE w:val="0"/>
        <w:autoSpaceDN w:val="0"/>
        <w:adjustRightInd w:val="0"/>
        <w:snapToGrid w:val="0"/>
        <w:spacing w:line="360" w:lineRule="auto"/>
        <w:ind w:firstLine="420"/>
        <w:rPr>
          <w:rFonts w:ascii="宋体" w:hAnsi="宋体"/>
          <w:b/>
          <w:bCs/>
          <w:sz w:val="24"/>
          <w:szCs w:val="24"/>
          <w:lang w:val="zh-CN"/>
        </w:rPr>
      </w:pPr>
      <w:r>
        <w:rPr>
          <w:rFonts w:hint="eastAsia" w:ascii="宋体" w:hAnsi="宋体"/>
          <w:sz w:val="24"/>
          <w:szCs w:val="24"/>
          <w:lang w:val="zh-CN"/>
        </w:rPr>
        <w:t>9.1 响应文件应由供应商法定代表人或授权代表签字，并加盖公章。</w:t>
      </w:r>
    </w:p>
    <w:p w14:paraId="0ADF56ED">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9</w:t>
      </w:r>
      <w:r>
        <w:rPr>
          <w:rFonts w:ascii="宋体" w:hAnsi="宋体"/>
          <w:sz w:val="24"/>
          <w:szCs w:val="24"/>
          <w:lang w:val="zh-CN"/>
        </w:rPr>
        <w:t>.</w:t>
      </w:r>
      <w:r>
        <w:rPr>
          <w:rFonts w:hint="eastAsia" w:ascii="宋体" w:hAnsi="宋体"/>
          <w:sz w:val="24"/>
          <w:szCs w:val="24"/>
          <w:lang w:val="zh-CN"/>
        </w:rPr>
        <w:t>2</w:t>
      </w:r>
      <w:r>
        <w:rPr>
          <w:rFonts w:ascii="宋体" w:hAnsi="宋体"/>
          <w:sz w:val="24"/>
          <w:szCs w:val="24"/>
          <w:lang w:val="zh-CN"/>
        </w:rPr>
        <w:t xml:space="preserve"> </w:t>
      </w:r>
      <w:r>
        <w:rPr>
          <w:rFonts w:hint="eastAsia" w:ascii="宋体" w:hAnsi="宋体"/>
          <w:sz w:val="24"/>
          <w:szCs w:val="24"/>
          <w:lang w:val="zh-CN"/>
        </w:rPr>
        <w:t>供应商应当在磋商文件要求提交响应文件的截止时间前，将响应文件密封送达指定地点。</w:t>
      </w:r>
    </w:p>
    <w:p w14:paraId="35167400">
      <w:pPr>
        <w:autoSpaceDE w:val="0"/>
        <w:autoSpaceDN w:val="0"/>
        <w:adjustRightInd w:val="0"/>
        <w:snapToGrid w:val="0"/>
        <w:spacing w:line="360" w:lineRule="auto"/>
        <w:ind w:firstLine="420"/>
        <w:rPr>
          <w:rFonts w:ascii="宋体" w:hAnsi="宋体"/>
          <w:b/>
          <w:bCs/>
          <w:sz w:val="24"/>
          <w:szCs w:val="24"/>
          <w:lang w:val="zh-CN"/>
        </w:rPr>
      </w:pPr>
      <w:r>
        <w:rPr>
          <w:rFonts w:hint="eastAsia" w:ascii="宋体" w:hAnsi="宋体"/>
          <w:bCs/>
          <w:sz w:val="24"/>
          <w:szCs w:val="24"/>
          <w:lang w:val="zh-CN"/>
        </w:rPr>
        <w:t xml:space="preserve">9.3 </w:t>
      </w:r>
      <w:r>
        <w:rPr>
          <w:rFonts w:hint="eastAsia" w:ascii="宋体" w:hAnsi="宋体"/>
          <w:b/>
          <w:bCs/>
          <w:sz w:val="24"/>
          <w:szCs w:val="24"/>
          <w:lang w:val="zh-CN"/>
        </w:rPr>
        <w:t>有下列情形之一的响应文件将拒收：</w:t>
      </w:r>
    </w:p>
    <w:p w14:paraId="396CFCCA">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（1）在磋商文件要求提交响应文件的截止时间之后送达的；</w:t>
      </w:r>
    </w:p>
    <w:p w14:paraId="252AB497">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（2）未按磋商邀请规定的数额和办法交纳磋商保证金的。</w:t>
      </w:r>
    </w:p>
    <w:p w14:paraId="725ECB36">
      <w:pPr>
        <w:pStyle w:val="5"/>
        <w:spacing w:line="360" w:lineRule="auto"/>
        <w:ind w:firstLine="0"/>
        <w:outlineLvl w:val="1"/>
        <w:rPr>
          <w:rFonts w:ascii="宋体" w:hAnsi="宋体"/>
          <w:b/>
          <w:bCs/>
          <w:sz w:val="24"/>
          <w:szCs w:val="24"/>
          <w:lang w:val="zh-CN"/>
        </w:rPr>
      </w:pPr>
      <w:bookmarkStart w:id="59" w:name="_Toc115787250"/>
      <w:r>
        <w:rPr>
          <w:rFonts w:hint="eastAsia" w:ascii="宋体" w:hAnsi="宋体"/>
          <w:b/>
          <w:bCs/>
          <w:sz w:val="24"/>
          <w:szCs w:val="24"/>
          <w:lang w:val="zh-CN"/>
        </w:rPr>
        <w:t>四、磋商</w:t>
      </w:r>
      <w:bookmarkEnd w:id="59"/>
    </w:p>
    <w:p w14:paraId="39A6C5F6">
      <w:pPr>
        <w:autoSpaceDE w:val="0"/>
        <w:autoSpaceDN w:val="0"/>
        <w:adjustRightInd w:val="0"/>
        <w:spacing w:line="360" w:lineRule="auto"/>
        <w:ind w:firstLine="420"/>
        <w:rPr>
          <w:rFonts w:ascii="宋体" w:hAnsi="宋体"/>
          <w:b/>
          <w:bCs/>
          <w:sz w:val="24"/>
          <w:szCs w:val="24"/>
          <w:lang w:val="zh-CN"/>
        </w:rPr>
      </w:pPr>
      <w:r>
        <w:rPr>
          <w:rFonts w:hint="eastAsia" w:ascii="宋体" w:hAnsi="宋体"/>
          <w:sz w:val="24"/>
          <w:szCs w:val="24"/>
          <w:lang w:val="zh-CN"/>
        </w:rPr>
        <w:t>10</w:t>
      </w:r>
      <w:r>
        <w:rPr>
          <w:rFonts w:hint="eastAsia" w:ascii="宋体" w:hAnsi="宋体"/>
          <w:b/>
          <w:bCs/>
          <w:sz w:val="24"/>
          <w:szCs w:val="24"/>
          <w:lang w:val="zh-CN"/>
        </w:rPr>
        <w:t>、联合体（如本项目接受）</w:t>
      </w:r>
    </w:p>
    <w:p w14:paraId="4E054535">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10.1</w:t>
      </w:r>
      <w:r>
        <w:rPr>
          <w:rFonts w:ascii="宋体" w:hAnsi="宋体"/>
          <w:sz w:val="24"/>
          <w:szCs w:val="24"/>
          <w:lang w:val="zh-CN"/>
        </w:rPr>
        <w:t>两个以上的自然人、法人或者其他组织可以组成一个联合体，以一个供应商的身份共同参加采购。</w:t>
      </w:r>
    </w:p>
    <w:p w14:paraId="3B3CF019">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10.2鼓励大中型企业和其他自然人、法人或者其他组织与小型、微型企业组成联合体共同参加非专门面向中小企业的采购活动。联合体各方均为小型、微型企业的，联合体视同为小型、微型企业。</w:t>
      </w:r>
    </w:p>
    <w:p w14:paraId="2BD3D3DD">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10.3以联合体形式参加采购的，联合体各方均应当符合</w:t>
      </w:r>
      <w:bookmarkStart w:id="60" w:name="OLE_LINK13"/>
      <w:bookmarkStart w:id="61" w:name="OLE_LINK12"/>
      <w:r>
        <w:rPr>
          <w:rFonts w:hint="eastAsia" w:ascii="宋体" w:hAnsi="宋体"/>
          <w:sz w:val="24"/>
          <w:szCs w:val="24"/>
          <w:lang w:val="zh-CN"/>
        </w:rPr>
        <w:t>政府采购法第二十二条第一款</w:t>
      </w:r>
      <w:bookmarkEnd w:id="60"/>
      <w:bookmarkEnd w:id="61"/>
      <w:r>
        <w:rPr>
          <w:rFonts w:hint="eastAsia" w:ascii="宋体" w:hAnsi="宋体"/>
          <w:sz w:val="24"/>
          <w:szCs w:val="24"/>
          <w:lang w:val="zh-CN"/>
        </w:rPr>
        <w:t>规定的条件；采购人根据采购项目的特殊要求规定供应商特定条件的，联合体各方中至少应当有一方符合采购人规定的特定条件。由同一专业的供应商组成的联合体，</w:t>
      </w:r>
      <w:r>
        <w:rPr>
          <w:rFonts w:ascii="宋体" w:hAnsi="宋体"/>
          <w:sz w:val="24"/>
          <w:szCs w:val="24"/>
          <w:lang w:val="zh-CN"/>
        </w:rPr>
        <w:t>联合体中有同类资质的供应商按照联合体分工承担相同工作的，按照资质等级较低的供应商确定资质等级</w:t>
      </w:r>
      <w:r>
        <w:rPr>
          <w:rFonts w:hint="eastAsia" w:ascii="宋体" w:hAnsi="宋体"/>
          <w:sz w:val="24"/>
          <w:szCs w:val="24"/>
          <w:lang w:val="zh-CN"/>
        </w:rPr>
        <w:t>，并以响应全权代表方的应答材料作为商务评审的依据</w:t>
      </w:r>
      <w:r>
        <w:rPr>
          <w:rFonts w:ascii="宋体" w:hAnsi="宋体"/>
          <w:sz w:val="24"/>
          <w:szCs w:val="24"/>
          <w:lang w:val="zh-CN"/>
        </w:rPr>
        <w:t>。</w:t>
      </w:r>
      <w:r>
        <w:rPr>
          <w:rFonts w:hint="eastAsia" w:ascii="宋体" w:hAnsi="宋体"/>
          <w:sz w:val="24"/>
          <w:szCs w:val="24"/>
          <w:lang w:val="zh-CN"/>
        </w:rPr>
        <w:t>由不同专业的供应商组成联合体，首先以响应全权代表方的应答材料作为认定资质以及商务评审的依据，涉及行业专属的资质，按照所属行业对应的供应商的应答材料确定。</w:t>
      </w:r>
    </w:p>
    <w:p w14:paraId="78738486">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10.4 联合体各方之间应当签订联合体协议，明确约定联合体各方承担的工作和相应的责任，并将联合体协议连同响应文件一并提交。</w:t>
      </w:r>
    </w:p>
    <w:p w14:paraId="02AFEE36">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10.5 以联合体形式参加采购活动的，联合体各方不得再单独参加或者与其他供应商另外组成联合体参加同一合同项下的采购活动。</w:t>
      </w:r>
    </w:p>
    <w:p w14:paraId="325245E4">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10.6</w:t>
      </w:r>
      <w:r>
        <w:rPr>
          <w:rFonts w:ascii="宋体" w:hAnsi="宋体"/>
          <w:sz w:val="24"/>
          <w:szCs w:val="24"/>
          <w:lang w:val="zh-CN"/>
        </w:rPr>
        <w:t xml:space="preserve"> </w:t>
      </w:r>
      <w:r>
        <w:rPr>
          <w:rFonts w:hint="eastAsia" w:ascii="宋体" w:hAnsi="宋体"/>
          <w:sz w:val="24"/>
          <w:szCs w:val="24"/>
          <w:lang w:val="zh-CN"/>
        </w:rPr>
        <w:t>采购合同分包履行的，成交供应商就采购项目和分包项目向采购人负责，分包项目供应商就分包项目承担责任，成交供应商与分包供应商之间应该签订分包意向协议。</w:t>
      </w:r>
    </w:p>
    <w:p w14:paraId="194FFF1E">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10.7预留份额的采购项目中，组成联合体或者接受分包的中小企业与联合体内其他企业、分包企业之间不得存在直接控股、管理关系。未预留份额的采购项目或采购包中，组成联合体或者接受分包的中小企业与联合体内其他企业、分包企业之间存在直接控股、管理关系的，不享受价格扣除优惠政策。</w:t>
      </w:r>
    </w:p>
    <w:p w14:paraId="2CFAF0B9">
      <w:pPr>
        <w:autoSpaceDE w:val="0"/>
        <w:autoSpaceDN w:val="0"/>
        <w:adjustRightInd w:val="0"/>
        <w:snapToGrid w:val="0"/>
        <w:spacing w:line="360" w:lineRule="auto"/>
        <w:ind w:firstLine="420"/>
        <w:rPr>
          <w:rFonts w:ascii="宋体" w:hAnsi="宋体"/>
          <w:b/>
          <w:bCs/>
          <w:sz w:val="24"/>
          <w:szCs w:val="24"/>
          <w:lang w:val="zh-CN"/>
        </w:rPr>
      </w:pPr>
      <w:r>
        <w:rPr>
          <w:rFonts w:hint="eastAsia" w:ascii="宋体" w:hAnsi="宋体"/>
          <w:b/>
          <w:bCs/>
          <w:sz w:val="24"/>
          <w:szCs w:val="24"/>
          <w:lang w:val="zh-CN"/>
        </w:rPr>
        <w:t>11、磋商组织</w:t>
      </w:r>
    </w:p>
    <w:p w14:paraId="31F1C658">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11.1 在提交响应文件时间截止后，采购人在规定的时间和地点组织磋商小组分别与供应商进行磋商。</w:t>
      </w:r>
    </w:p>
    <w:p w14:paraId="2352EF58">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11.2 磋商工作由采购人负责组织，具体磋商事务由依法组建的磋商小组负责。</w:t>
      </w:r>
    </w:p>
    <w:p w14:paraId="3FB4C07C">
      <w:pPr>
        <w:autoSpaceDE w:val="0"/>
        <w:autoSpaceDN w:val="0"/>
        <w:adjustRightInd w:val="0"/>
        <w:snapToGrid w:val="0"/>
        <w:spacing w:line="360" w:lineRule="auto"/>
        <w:ind w:firstLine="420"/>
        <w:rPr>
          <w:rFonts w:ascii="宋体" w:hAnsi="宋体"/>
          <w:b/>
          <w:sz w:val="24"/>
          <w:szCs w:val="24"/>
          <w:lang w:val="zh-CN"/>
        </w:rPr>
      </w:pPr>
      <w:r>
        <w:rPr>
          <w:rFonts w:hint="eastAsia" w:ascii="宋体" w:hAnsi="宋体"/>
          <w:b/>
          <w:sz w:val="24"/>
          <w:szCs w:val="24"/>
          <w:lang w:val="zh-CN"/>
        </w:rPr>
        <w:t>12、磋商程序</w:t>
      </w:r>
    </w:p>
    <w:p w14:paraId="144933C2">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12.1 对响应文件的资格性审查和符合性审查</w:t>
      </w:r>
    </w:p>
    <w:p w14:paraId="575363BB">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响应文件初审分为资格性审查和符合性审查：</w:t>
      </w:r>
    </w:p>
    <w:p w14:paraId="3525D700">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资格性审查：依据法律法规和采购文件的规定，对响应文件中相关内容进行审查，以确定供应商是否具备磋商资格。</w:t>
      </w:r>
    </w:p>
    <w:p w14:paraId="07B5DB38">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（1）供应商资质（采购文件第一章要求）；</w:t>
      </w:r>
    </w:p>
    <w:p w14:paraId="66A79A01">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（2）磋商保证金交纳情况（如有，采购文件第一章要求）；</w:t>
      </w:r>
    </w:p>
    <w:p w14:paraId="46CC0E13">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（3）投标报价是否超过预算金额或最高限价。</w:t>
      </w:r>
    </w:p>
    <w:p w14:paraId="1D44D675">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符合性审查：依据采购文件的规定，对响应文件中相关内容进行审查，以确定是否对采购文件的实质性要求作出响应。</w:t>
      </w:r>
    </w:p>
    <w:p w14:paraId="74E3FB07">
      <w:pPr>
        <w:autoSpaceDE w:val="0"/>
        <w:autoSpaceDN w:val="0"/>
        <w:adjustRightInd w:val="0"/>
        <w:snapToGrid w:val="0"/>
        <w:spacing w:line="360" w:lineRule="auto"/>
        <w:ind w:firstLine="420"/>
        <w:rPr>
          <w:rFonts w:ascii="宋体" w:cs="宋体"/>
          <w:spacing w:val="-1"/>
          <w:sz w:val="24"/>
          <w:szCs w:val="24"/>
        </w:rPr>
      </w:pPr>
      <w:r>
        <w:rPr>
          <w:rFonts w:hint="eastAsia" w:ascii="宋体" w:hAnsi="宋体" w:cs="宋体"/>
          <w:spacing w:val="-1"/>
          <w:sz w:val="24"/>
          <w:szCs w:val="24"/>
        </w:rPr>
        <w:t>（</w:t>
      </w:r>
      <w:r>
        <w:rPr>
          <w:rFonts w:ascii="宋体" w:hAnsi="宋体" w:cs="宋体"/>
          <w:spacing w:val="-1"/>
          <w:sz w:val="24"/>
          <w:szCs w:val="24"/>
        </w:rPr>
        <w:t>1</w:t>
      </w:r>
      <w:r>
        <w:rPr>
          <w:rFonts w:hint="eastAsia" w:ascii="宋体" w:hAnsi="宋体" w:cs="宋体"/>
          <w:spacing w:val="-1"/>
          <w:sz w:val="24"/>
          <w:szCs w:val="24"/>
        </w:rPr>
        <w:t>）投标文件的有效性</w:t>
      </w:r>
      <w:r>
        <w:rPr>
          <w:rFonts w:ascii="宋体" w:hAnsi="宋体" w:cs="宋体"/>
          <w:spacing w:val="-1"/>
          <w:sz w:val="24"/>
          <w:szCs w:val="24"/>
        </w:rPr>
        <w:t>(</w:t>
      </w:r>
      <w:r>
        <w:rPr>
          <w:rFonts w:hint="eastAsia" w:ascii="宋体" w:hAnsi="宋体" w:cs="宋体"/>
          <w:spacing w:val="-1"/>
          <w:sz w:val="24"/>
          <w:szCs w:val="24"/>
        </w:rPr>
        <w:t>签署、盖章情况等</w:t>
      </w:r>
      <w:r>
        <w:rPr>
          <w:rFonts w:ascii="宋体" w:hAnsi="宋体" w:cs="宋体"/>
          <w:spacing w:val="-1"/>
          <w:sz w:val="24"/>
          <w:szCs w:val="24"/>
        </w:rPr>
        <w:t>)</w:t>
      </w:r>
      <w:r>
        <w:rPr>
          <w:rFonts w:hint="eastAsia" w:ascii="宋体" w:hAnsi="宋体" w:cs="宋体"/>
          <w:spacing w:val="-1"/>
          <w:sz w:val="24"/>
          <w:szCs w:val="24"/>
        </w:rPr>
        <w:t>；</w:t>
      </w:r>
    </w:p>
    <w:p w14:paraId="6922220B">
      <w:pPr>
        <w:autoSpaceDE w:val="0"/>
        <w:autoSpaceDN w:val="0"/>
        <w:adjustRightInd w:val="0"/>
        <w:snapToGrid w:val="0"/>
        <w:spacing w:line="360" w:lineRule="auto"/>
        <w:ind w:firstLine="420"/>
        <w:rPr>
          <w:rFonts w:ascii="宋体" w:cs="宋体"/>
          <w:spacing w:val="-1"/>
          <w:sz w:val="24"/>
          <w:szCs w:val="24"/>
        </w:rPr>
      </w:pPr>
      <w:r>
        <w:rPr>
          <w:rFonts w:hint="eastAsia" w:ascii="宋体" w:hAnsi="宋体" w:cs="宋体"/>
          <w:spacing w:val="-1"/>
          <w:sz w:val="24"/>
          <w:szCs w:val="24"/>
        </w:rPr>
        <w:t>（</w:t>
      </w:r>
      <w:r>
        <w:rPr>
          <w:rFonts w:ascii="宋体" w:hAnsi="宋体" w:cs="宋体"/>
          <w:spacing w:val="-1"/>
          <w:sz w:val="24"/>
          <w:szCs w:val="24"/>
        </w:rPr>
        <w:t>2</w:t>
      </w:r>
      <w:r>
        <w:rPr>
          <w:rFonts w:hint="eastAsia" w:ascii="宋体" w:hAnsi="宋体" w:cs="宋体"/>
          <w:spacing w:val="-1"/>
          <w:sz w:val="24"/>
          <w:szCs w:val="24"/>
        </w:rPr>
        <w:t>）投标文件的完整性（正本、副本及电子投标文件数量、内容等）；</w:t>
      </w:r>
    </w:p>
    <w:p w14:paraId="5D80EC6A">
      <w:pPr>
        <w:autoSpaceDE w:val="0"/>
        <w:autoSpaceDN w:val="0"/>
        <w:adjustRightInd w:val="0"/>
        <w:snapToGrid w:val="0"/>
        <w:spacing w:line="360" w:lineRule="auto"/>
        <w:ind w:firstLine="420"/>
        <w:rPr>
          <w:rFonts w:ascii="宋体" w:cs="宋体"/>
          <w:spacing w:val="-1"/>
          <w:sz w:val="24"/>
          <w:szCs w:val="24"/>
        </w:rPr>
      </w:pPr>
      <w:r>
        <w:rPr>
          <w:rFonts w:hint="eastAsia" w:ascii="宋体" w:hAnsi="宋体" w:cs="宋体"/>
          <w:spacing w:val="-1"/>
          <w:sz w:val="24"/>
          <w:szCs w:val="24"/>
        </w:rPr>
        <w:t>（</w:t>
      </w:r>
      <w:r>
        <w:rPr>
          <w:rFonts w:ascii="宋体" w:hAnsi="宋体" w:cs="宋体"/>
          <w:spacing w:val="-1"/>
          <w:sz w:val="24"/>
          <w:szCs w:val="24"/>
        </w:rPr>
        <w:t>3</w:t>
      </w:r>
      <w:r>
        <w:rPr>
          <w:rFonts w:hint="eastAsia" w:ascii="宋体" w:hAnsi="宋体" w:cs="宋体"/>
          <w:spacing w:val="-1"/>
          <w:sz w:val="24"/>
          <w:szCs w:val="24"/>
        </w:rPr>
        <w:t>）对采购文件的响应程度（是否存在重大负偏离等）；</w:t>
      </w:r>
    </w:p>
    <w:p w14:paraId="35FA9858">
      <w:pPr>
        <w:autoSpaceDE w:val="0"/>
        <w:autoSpaceDN w:val="0"/>
        <w:adjustRightInd w:val="0"/>
        <w:snapToGrid w:val="0"/>
        <w:spacing w:line="360" w:lineRule="auto"/>
        <w:ind w:firstLine="420"/>
        <w:rPr>
          <w:rFonts w:ascii="宋体" w:hAnsi="宋体" w:cs="宋体"/>
          <w:spacing w:val="-1"/>
          <w:sz w:val="24"/>
          <w:szCs w:val="24"/>
        </w:rPr>
      </w:pPr>
      <w:r>
        <w:rPr>
          <w:rFonts w:hint="eastAsia" w:ascii="宋体" w:hAnsi="宋体" w:cs="宋体"/>
          <w:spacing w:val="-1"/>
          <w:sz w:val="24"/>
          <w:szCs w:val="24"/>
        </w:rPr>
        <w:t>（</w:t>
      </w:r>
      <w:r>
        <w:rPr>
          <w:rFonts w:ascii="宋体" w:hAnsi="宋体" w:cs="宋体"/>
          <w:spacing w:val="-1"/>
          <w:sz w:val="24"/>
          <w:szCs w:val="24"/>
        </w:rPr>
        <w:t>4</w:t>
      </w:r>
      <w:r>
        <w:rPr>
          <w:rFonts w:hint="eastAsia" w:ascii="宋体" w:hAnsi="宋体" w:cs="宋体"/>
          <w:spacing w:val="-1"/>
          <w:sz w:val="24"/>
          <w:szCs w:val="24"/>
        </w:rPr>
        <w:t>）投标人串通投标情形审查；</w:t>
      </w:r>
      <w:r>
        <w:rPr>
          <w:rFonts w:ascii="宋体" w:hAnsi="宋体" w:cs="宋体"/>
          <w:spacing w:val="-1"/>
          <w:sz w:val="24"/>
          <w:szCs w:val="24"/>
        </w:rPr>
        <w:t xml:space="preserve"> </w:t>
      </w:r>
    </w:p>
    <w:p w14:paraId="69B328C8">
      <w:pPr>
        <w:autoSpaceDE w:val="0"/>
        <w:autoSpaceDN w:val="0"/>
        <w:adjustRightInd w:val="0"/>
        <w:snapToGrid w:val="0"/>
        <w:spacing w:line="360" w:lineRule="auto"/>
        <w:ind w:firstLine="420"/>
        <w:rPr>
          <w:rFonts w:ascii="宋体" w:hAnsi="宋体" w:cs="宋体"/>
          <w:spacing w:val="-1"/>
          <w:sz w:val="24"/>
          <w:szCs w:val="24"/>
        </w:rPr>
      </w:pPr>
      <w:r>
        <w:rPr>
          <w:rFonts w:hint="eastAsia" w:ascii="宋体" w:hAnsi="宋体" w:cs="宋体"/>
          <w:spacing w:val="-1"/>
          <w:sz w:val="24"/>
          <w:szCs w:val="24"/>
        </w:rPr>
        <w:t>（</w:t>
      </w:r>
      <w:r>
        <w:rPr>
          <w:rFonts w:ascii="宋体" w:hAnsi="宋体" w:cs="宋体"/>
          <w:spacing w:val="-1"/>
          <w:sz w:val="24"/>
          <w:szCs w:val="24"/>
        </w:rPr>
        <w:t>5</w:t>
      </w:r>
      <w:r>
        <w:rPr>
          <w:rFonts w:hint="eastAsia" w:ascii="宋体" w:hAnsi="宋体" w:cs="宋体"/>
          <w:spacing w:val="-1"/>
          <w:sz w:val="24"/>
          <w:szCs w:val="24"/>
        </w:rPr>
        <w:t>）其它实质性偏差。</w:t>
      </w:r>
    </w:p>
    <w:p w14:paraId="19305F12">
      <w:pPr>
        <w:spacing w:line="360" w:lineRule="auto"/>
        <w:ind w:firstLine="470" w:firstLineChars="200"/>
        <w:jc w:val="left"/>
        <w:rPr>
          <w:rFonts w:ascii="宋体" w:cs="宋体"/>
          <w:sz w:val="24"/>
          <w:szCs w:val="24"/>
        </w:rPr>
      </w:pPr>
      <w:r>
        <w:rPr>
          <w:rFonts w:ascii="宋体" w:hAnsi="宋体" w:cs="宋体"/>
          <w:b/>
          <w:spacing w:val="-3"/>
          <w:sz w:val="24"/>
          <w:szCs w:val="24"/>
        </w:rPr>
        <w:t>12.2</w:t>
      </w:r>
      <w:r>
        <w:rPr>
          <w:rFonts w:hint="eastAsia" w:ascii="宋体" w:hAnsi="宋体" w:cs="宋体"/>
          <w:spacing w:val="-3"/>
          <w:sz w:val="24"/>
          <w:szCs w:val="24"/>
        </w:rPr>
        <w:t>实质性要求是指本采购文件中用带星号</w:t>
      </w:r>
      <w:r>
        <w:rPr>
          <w:rFonts w:hint="eastAsia" w:ascii="宋体" w:hAnsi="宋体" w:cs="宋体"/>
          <w:spacing w:val="-6"/>
          <w:sz w:val="24"/>
          <w:szCs w:val="24"/>
        </w:rPr>
        <w:t>（“★”）</w:t>
      </w:r>
      <w:r>
        <w:rPr>
          <w:rFonts w:hint="eastAsia" w:ascii="宋体" w:hAnsi="宋体" w:cs="宋体"/>
          <w:sz w:val="24"/>
          <w:szCs w:val="24"/>
        </w:rPr>
        <w:t>的</w:t>
      </w:r>
      <w:r>
        <w:rPr>
          <w:rFonts w:hint="eastAsia" w:ascii="宋体" w:hAnsi="宋体" w:cs="宋体"/>
          <w:spacing w:val="-1"/>
          <w:sz w:val="24"/>
          <w:szCs w:val="24"/>
        </w:rPr>
        <w:t>商务和服务要求或文件中作出特别说明的其他要求。</w:t>
      </w:r>
    </w:p>
    <w:p w14:paraId="6FBBE3EB">
      <w:pPr>
        <w:spacing w:line="360" w:lineRule="auto"/>
        <w:ind w:firstLine="470" w:firstLineChars="200"/>
        <w:jc w:val="left"/>
        <w:rPr>
          <w:rFonts w:ascii="宋体" w:cs="宋体"/>
          <w:sz w:val="24"/>
          <w:szCs w:val="24"/>
        </w:rPr>
      </w:pPr>
      <w:r>
        <w:rPr>
          <w:rFonts w:ascii="宋体" w:hAnsi="宋体" w:cs="宋体"/>
          <w:b/>
          <w:spacing w:val="-3"/>
          <w:sz w:val="24"/>
          <w:szCs w:val="24"/>
        </w:rPr>
        <w:t>12.3</w:t>
      </w:r>
      <w:r>
        <w:rPr>
          <w:rFonts w:hint="eastAsia" w:ascii="宋体" w:hAnsi="宋体" w:cs="宋体"/>
          <w:spacing w:val="-5"/>
          <w:sz w:val="24"/>
          <w:szCs w:val="24"/>
        </w:rPr>
        <w:t>如果响应文件实质上没有响应采购文件的要求，磋商小组</w:t>
      </w:r>
      <w:r>
        <w:rPr>
          <w:rFonts w:hint="eastAsia" w:ascii="宋体" w:hAnsi="宋体" w:cs="宋体"/>
          <w:sz w:val="24"/>
          <w:szCs w:val="24"/>
        </w:rPr>
        <w:t>将予以拒绝，供应商不得通过修改或撤销不合要求的偏离或</w:t>
      </w:r>
      <w:r>
        <w:rPr>
          <w:rFonts w:hint="eastAsia" w:ascii="宋体" w:hAnsi="宋体" w:cs="宋体"/>
          <w:spacing w:val="-1"/>
          <w:sz w:val="24"/>
          <w:szCs w:val="24"/>
        </w:rPr>
        <w:t>保留而使其响应文件成为实质性响应的磋商。</w:t>
      </w:r>
    </w:p>
    <w:p w14:paraId="162398EC">
      <w:pPr>
        <w:spacing w:line="360" w:lineRule="auto"/>
        <w:ind w:firstLine="470" w:firstLineChars="200"/>
        <w:jc w:val="left"/>
        <w:rPr>
          <w:rFonts w:ascii="宋体" w:cs="宋体"/>
          <w:sz w:val="24"/>
          <w:szCs w:val="24"/>
        </w:rPr>
      </w:pPr>
      <w:r>
        <w:rPr>
          <w:rFonts w:ascii="宋体" w:hAnsi="宋体" w:cs="宋体"/>
          <w:b/>
          <w:spacing w:val="-3"/>
          <w:sz w:val="24"/>
          <w:szCs w:val="24"/>
        </w:rPr>
        <w:t>12.4</w:t>
      </w:r>
      <w:r>
        <w:rPr>
          <w:rFonts w:hint="eastAsia" w:ascii="宋体" w:hAnsi="宋体" w:cs="宋体"/>
          <w:spacing w:val="-4"/>
          <w:sz w:val="24"/>
          <w:szCs w:val="24"/>
        </w:rPr>
        <w:t>响应文件有下列情况之一的，在符合性审查时按照</w:t>
      </w:r>
      <w:r>
        <w:rPr>
          <w:rFonts w:hint="eastAsia" w:ascii="宋体" w:hAnsi="宋体" w:cs="宋体"/>
          <w:b/>
          <w:sz w:val="24"/>
          <w:szCs w:val="24"/>
        </w:rPr>
        <w:t>无效磋商处理</w:t>
      </w:r>
      <w:r>
        <w:rPr>
          <w:rFonts w:hint="eastAsia" w:ascii="宋体" w:hAnsi="宋体" w:cs="宋体"/>
          <w:sz w:val="24"/>
          <w:szCs w:val="24"/>
        </w:rPr>
        <w:t>：</w:t>
      </w:r>
    </w:p>
    <w:p w14:paraId="6EAE5499">
      <w:pP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）未按照采购文件规定要求密封、签署、盖章的，提交响应文件份数及电子件的；</w:t>
      </w:r>
    </w:p>
    <w:p w14:paraId="30F05AA2">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）不具备采购文件中规定的资格要求的；</w:t>
      </w:r>
    </w:p>
    <w:p w14:paraId="0FD1C5CE">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）总价超出采购预算金额或者最高限价的；</w:t>
      </w:r>
    </w:p>
    <w:p w14:paraId="7D9E3837">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）不同供应商的投标文件由同一单位或者个人编制；</w:t>
      </w:r>
    </w:p>
    <w:p w14:paraId="39DF81A7">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）不同供应商委托同一单位或者个人办理投标事宜；</w:t>
      </w:r>
    </w:p>
    <w:p w14:paraId="4E7DBE41">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）不同供应商的响应文件载明的项目管理成员或者联系人员为同一人；</w:t>
      </w:r>
    </w:p>
    <w:p w14:paraId="48F8B49B">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）不同供应商的</w:t>
      </w:r>
      <w:r>
        <w:rPr>
          <w:rFonts w:ascii="宋体" w:hAnsi="宋体" w:cs="宋体"/>
          <w:sz w:val="24"/>
          <w:szCs w:val="24"/>
        </w:rPr>
        <w:t>响应</w:t>
      </w:r>
      <w:r>
        <w:rPr>
          <w:rFonts w:hint="eastAsia" w:ascii="宋体" w:hAnsi="宋体" w:cs="宋体"/>
          <w:sz w:val="24"/>
          <w:szCs w:val="24"/>
        </w:rPr>
        <w:t>文件异常一致或者投标报价呈规律性差异；</w:t>
      </w:r>
    </w:p>
    <w:p w14:paraId="083574DB">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）不同供应商的响应文件相互混装；</w:t>
      </w:r>
    </w:p>
    <w:p w14:paraId="05D0A12C">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）不同供应商的磋商保证金从同一单位或者个人的账户转出；</w:t>
      </w:r>
    </w:p>
    <w:p w14:paraId="2FC3BD86">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）不同供应商的法定代表人或委托代理人有夫妻、直系血亲关系的；</w:t>
      </w:r>
    </w:p>
    <w:p w14:paraId="034A7B6D">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11</w:t>
      </w:r>
      <w:r>
        <w:rPr>
          <w:rFonts w:hint="eastAsia" w:ascii="宋体" w:hAnsi="宋体" w:cs="宋体"/>
          <w:sz w:val="24"/>
          <w:szCs w:val="24"/>
        </w:rPr>
        <w:t>）不同供应商的负责人为同一人或者存在控股、管理关系的；</w:t>
      </w:r>
    </w:p>
    <w:p w14:paraId="5B6DAB7C">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12</w:t>
      </w:r>
      <w:r>
        <w:rPr>
          <w:rFonts w:hint="eastAsia" w:ascii="宋体" w:hAnsi="宋体" w:cs="宋体"/>
          <w:sz w:val="24"/>
          <w:szCs w:val="24"/>
        </w:rPr>
        <w:t>）没有详细做出各项服务响应，而是直接拷贝采购文件服务内容及要求的；</w:t>
      </w:r>
    </w:p>
    <w:p w14:paraId="1958984E">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13</w:t>
      </w:r>
      <w:r>
        <w:rPr>
          <w:rFonts w:hint="eastAsia" w:ascii="宋体" w:hAnsi="宋体" w:cs="宋体"/>
          <w:sz w:val="24"/>
          <w:szCs w:val="24"/>
        </w:rPr>
        <w:t>）不同供应</w:t>
      </w:r>
      <w:r>
        <w:rPr>
          <w:rFonts w:hint="eastAsia" w:ascii="宋体" w:hAnsi="宋体" w:cs="宋体"/>
          <w:spacing w:val="-6"/>
          <w:sz w:val="24"/>
          <w:szCs w:val="24"/>
        </w:rPr>
        <w:t>商的委托代理人</w:t>
      </w:r>
      <w:r>
        <w:rPr>
          <w:rFonts w:ascii="宋体" w:hAnsi="宋体" w:cs="宋体"/>
          <w:spacing w:val="-6"/>
          <w:sz w:val="24"/>
          <w:szCs w:val="24"/>
        </w:rPr>
        <w:t>(</w:t>
      </w:r>
      <w:r>
        <w:rPr>
          <w:rFonts w:hint="eastAsia" w:ascii="宋体" w:hAnsi="宋体" w:cs="宋体"/>
          <w:spacing w:val="-6"/>
          <w:sz w:val="24"/>
          <w:szCs w:val="24"/>
        </w:rPr>
        <w:t>或法定代表人、项目经理、项目</w:t>
      </w:r>
      <w:r>
        <w:rPr>
          <w:rFonts w:hint="eastAsia" w:ascii="宋体" w:hAnsi="宋体" w:cs="宋体"/>
          <w:spacing w:val="-7"/>
          <w:sz w:val="24"/>
          <w:szCs w:val="24"/>
        </w:rPr>
        <w:t>总监、项目负责人等</w:t>
      </w:r>
      <w:r>
        <w:rPr>
          <w:rFonts w:ascii="宋体" w:hAnsi="宋体" w:cs="宋体"/>
          <w:spacing w:val="-7"/>
          <w:sz w:val="24"/>
          <w:szCs w:val="24"/>
        </w:rPr>
        <w:t>)</w:t>
      </w:r>
      <w:r>
        <w:rPr>
          <w:rFonts w:hint="eastAsia" w:ascii="宋体" w:hAnsi="宋体" w:cs="宋体"/>
          <w:spacing w:val="-7"/>
          <w:sz w:val="24"/>
          <w:szCs w:val="24"/>
        </w:rPr>
        <w:t>在采购文件发布日上月至投标截止日当月在同一单位缴纳社会保险的；</w:t>
      </w:r>
    </w:p>
    <w:p w14:paraId="76D7B429">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14</w:t>
      </w:r>
      <w:r>
        <w:rPr>
          <w:rFonts w:hint="eastAsia" w:ascii="宋体" w:hAnsi="宋体" w:cs="宋体"/>
          <w:sz w:val="24"/>
          <w:szCs w:val="24"/>
        </w:rPr>
        <w:t>）服务承诺和付款条件未响应采购要求的；</w:t>
      </w:r>
    </w:p>
    <w:p w14:paraId="4C278234">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15</w:t>
      </w:r>
      <w:r>
        <w:rPr>
          <w:rFonts w:hint="eastAsia" w:ascii="宋体" w:hAnsi="宋体" w:cs="宋体"/>
          <w:sz w:val="24"/>
          <w:szCs w:val="24"/>
        </w:rPr>
        <w:t>）响应文件含有采购人不能接受的附加条件的；</w:t>
      </w:r>
    </w:p>
    <w:p w14:paraId="22BAE1BB">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16</w:t>
      </w:r>
      <w:r>
        <w:rPr>
          <w:rFonts w:hint="eastAsia" w:ascii="宋体" w:hAnsi="宋体" w:cs="宋体"/>
          <w:sz w:val="24"/>
          <w:szCs w:val="24"/>
        </w:rPr>
        <w:t>）与采购文件提供的工程量清单中的项目编码、项目名称、项目特征、计量单位、工程量不一致的；</w:t>
      </w:r>
      <w:r>
        <w:rPr>
          <w:rFonts w:ascii="宋体" w:cs="宋体"/>
          <w:sz w:val="24"/>
          <w:szCs w:val="24"/>
        </w:rPr>
        <w:t xml:space="preserve"> </w:t>
      </w:r>
    </w:p>
    <w:p w14:paraId="7672786E">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17</w:t>
      </w:r>
      <w:r>
        <w:rPr>
          <w:rFonts w:hint="eastAsia" w:ascii="宋体" w:hAnsi="宋体" w:cs="宋体"/>
          <w:sz w:val="24"/>
          <w:szCs w:val="24"/>
        </w:rPr>
        <w:t>）与采购文件规定的暂估价、暂列金额及甲供材料价格不一致的；</w:t>
      </w:r>
    </w:p>
    <w:p w14:paraId="20830854">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18</w:t>
      </w:r>
      <w:r>
        <w:rPr>
          <w:rFonts w:hint="eastAsia" w:ascii="宋体" w:hAnsi="宋体" w:cs="宋体"/>
          <w:sz w:val="24"/>
          <w:szCs w:val="24"/>
        </w:rPr>
        <w:t>）与采购文件明确列出的不可竞争费用项目或费率或计算基础不一致的；</w:t>
      </w:r>
      <w:r>
        <w:rPr>
          <w:rFonts w:ascii="宋体" w:cs="宋体"/>
          <w:sz w:val="24"/>
          <w:szCs w:val="24"/>
        </w:rPr>
        <w:t xml:space="preserve"> </w:t>
      </w:r>
    </w:p>
    <w:p w14:paraId="5DE33570">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19</w:t>
      </w:r>
      <w:r>
        <w:rPr>
          <w:rFonts w:hint="eastAsia" w:ascii="宋体" w:hAnsi="宋体" w:cs="宋体"/>
          <w:sz w:val="24"/>
          <w:szCs w:val="24"/>
        </w:rPr>
        <w:t>）磋商小组认为供应商的报价低于完成本服务项目发生的所有含税费用、支付给员工的工资（不得低于供应商所在地最低工资标准）和国家强制缴纳的各种社会保障资金、公积金，以及供应商认为需要的其他费用等。或投标人的报价明显低于其他通过符合性审查投标人的报价，有可能影响服务质量或者不能诚信履约的，未在评标现场合理的时间内提供书面说明或相关证明材料，不能证明其报价合理的；</w:t>
      </w:r>
    </w:p>
    <w:p w14:paraId="7085E8FE">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20</w:t>
      </w:r>
      <w:r>
        <w:rPr>
          <w:rFonts w:hint="eastAsia" w:ascii="宋体" w:hAnsi="宋体" w:cs="宋体"/>
          <w:sz w:val="24"/>
          <w:szCs w:val="24"/>
        </w:rPr>
        <w:t>）不同供应商的响应文件以及响应文件制作过程出现异常一致的情况；</w:t>
      </w:r>
    </w:p>
    <w:p w14:paraId="5C485A46">
      <w:pPr>
        <w:spacing w:line="360" w:lineRule="auto"/>
        <w:ind w:firstLine="480" w:firstLineChars="200"/>
        <w:jc w:val="left"/>
        <w:rPr>
          <w:rFonts w:ascii="宋体" w:cs="宋体"/>
          <w:sz w:val="24"/>
          <w:szCs w:val="24"/>
        </w:rPr>
      </w:pPr>
      <w:r>
        <w:rPr>
          <w:rFonts w:hint="eastAsia" w:ascii="宋体" w:hAnsi="宋体" w:cs="宋体"/>
          <w:sz w:val="24"/>
          <w:szCs w:val="24"/>
        </w:rPr>
        <w:t>（</w:t>
      </w:r>
      <w:r>
        <w:rPr>
          <w:rFonts w:ascii="宋体" w:hAnsi="宋体" w:cs="宋体"/>
          <w:sz w:val="24"/>
          <w:szCs w:val="24"/>
        </w:rPr>
        <w:t>21</w:t>
      </w:r>
      <w:r>
        <w:rPr>
          <w:rFonts w:hint="eastAsia" w:ascii="宋体" w:hAnsi="宋体" w:cs="宋体"/>
          <w:sz w:val="24"/>
          <w:szCs w:val="24"/>
        </w:rPr>
        <w:t>）不符合法律、法规和采购文件规定的其他无效情形。</w:t>
      </w:r>
    </w:p>
    <w:p w14:paraId="5EBC0EF6">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12.</w:t>
      </w:r>
      <w:r>
        <w:rPr>
          <w:rFonts w:ascii="宋体" w:hAnsi="宋体"/>
          <w:sz w:val="24"/>
          <w:szCs w:val="24"/>
          <w:lang w:val="zh-CN"/>
        </w:rPr>
        <w:t>5</w:t>
      </w:r>
      <w:r>
        <w:rPr>
          <w:rFonts w:hint="eastAsia" w:ascii="宋体" w:hAnsi="宋体"/>
          <w:sz w:val="24"/>
          <w:szCs w:val="24"/>
          <w:lang w:val="zh-CN"/>
        </w:rPr>
        <w:t xml:space="preserve"> 响应文件报价出现前后不一致的，按照下列规定修正：</w:t>
      </w:r>
    </w:p>
    <w:p w14:paraId="6F96E3E8">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（1）报价表内容与响应文件中相应内容不一致的，以报价表为准；</w:t>
      </w:r>
    </w:p>
    <w:p w14:paraId="0AB234BE">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（2）大写金额和小写金额不一致的，以大写金额为准；</w:t>
      </w:r>
    </w:p>
    <w:p w14:paraId="719E216E">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（3）单价金额小数点或者百分比有明显错位的，以报价表的总价为准，并修改单价；</w:t>
      </w:r>
    </w:p>
    <w:p w14:paraId="5A7572F1">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（4）总价金额与按单价汇总金额不一致的，以单价金额计算结果为准；</w:t>
      </w:r>
    </w:p>
    <w:p w14:paraId="66C77CA9">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（5）同时出现两种以上不一致的，按照前款规定的顺序修正。修正后的报价按照《政府采购竞争性磋商采购方式管理暂行办法》第十八条的规定经供应商确认后产生约束力，供应商不确认的，其报价无效。</w:t>
      </w:r>
    </w:p>
    <w:p w14:paraId="0E065BEE">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12.</w:t>
      </w:r>
      <w:r>
        <w:rPr>
          <w:rFonts w:ascii="宋体" w:hAnsi="宋体"/>
          <w:sz w:val="24"/>
          <w:szCs w:val="24"/>
          <w:lang w:val="zh-CN"/>
        </w:rPr>
        <w:t>6</w:t>
      </w:r>
      <w:r>
        <w:rPr>
          <w:rFonts w:hint="eastAsia" w:ascii="宋体" w:hAnsi="宋体"/>
          <w:sz w:val="24"/>
          <w:szCs w:val="24"/>
          <w:lang w:val="zh-CN"/>
        </w:rPr>
        <w:t xml:space="preserve"> 磋商小组评审供应商所递交的响应性文件，</w:t>
      </w:r>
      <w:r>
        <w:rPr>
          <w:rFonts w:hint="eastAsia" w:ascii="宋体" w:hAnsi="宋体"/>
          <w:sz w:val="24"/>
          <w:szCs w:val="24"/>
        </w:rPr>
        <w:t>并根据磋商文件规定的程序、评定成交的标准等事项与实质性响应磋商文件要求的供应商进行磋商。未实质性响应磋商文件的响应文件按无效处理，磋商小组应将告知有关供应商。</w:t>
      </w:r>
    </w:p>
    <w:p w14:paraId="25016898">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12.</w:t>
      </w:r>
      <w:r>
        <w:rPr>
          <w:rFonts w:ascii="宋体" w:hAnsi="宋体"/>
          <w:sz w:val="24"/>
          <w:szCs w:val="24"/>
          <w:lang w:val="zh-CN"/>
        </w:rPr>
        <w:t>7</w:t>
      </w:r>
      <w:r>
        <w:rPr>
          <w:rFonts w:hint="eastAsia" w:ascii="宋体" w:hAnsi="宋体"/>
          <w:sz w:val="24"/>
          <w:szCs w:val="24"/>
          <w:lang w:val="zh-CN"/>
        </w:rPr>
        <w:t xml:space="preserve"> 磋商小组所有成员集中与单一供应商分别进行磋商，所有参加磋商的供应商均有同等的磋商机会。</w:t>
      </w:r>
    </w:p>
    <w:p w14:paraId="42164C5C">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12.</w:t>
      </w:r>
      <w:r>
        <w:rPr>
          <w:rFonts w:ascii="宋体" w:hAnsi="宋体"/>
          <w:sz w:val="24"/>
          <w:szCs w:val="24"/>
          <w:lang w:val="zh-CN"/>
        </w:rPr>
        <w:t>8</w:t>
      </w:r>
      <w:r>
        <w:rPr>
          <w:rFonts w:hint="eastAsia" w:ascii="宋体" w:hAnsi="宋体"/>
          <w:sz w:val="24"/>
          <w:szCs w:val="24"/>
          <w:lang w:val="zh-CN"/>
        </w:rPr>
        <w:t xml:space="preserve">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6C7C47A7">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12.</w:t>
      </w:r>
      <w:r>
        <w:rPr>
          <w:rFonts w:ascii="宋体" w:hAnsi="宋体"/>
          <w:sz w:val="24"/>
          <w:szCs w:val="24"/>
          <w:lang w:val="zh-CN"/>
        </w:rPr>
        <w:t>9</w:t>
      </w:r>
      <w:r>
        <w:rPr>
          <w:rFonts w:hint="eastAsia" w:ascii="宋体" w:hAnsi="宋体"/>
          <w:sz w:val="24"/>
          <w:szCs w:val="24"/>
          <w:lang w:val="zh-CN"/>
        </w:rPr>
        <w:t xml:space="preserve"> 供应商应当按照磋商文件的变动情况和磋商小组的要求重新提交响应文件，并由其法定代表人或授权代表签字或者加盖公章。</w:t>
      </w:r>
    </w:p>
    <w:p w14:paraId="76D5B086">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12.</w:t>
      </w:r>
      <w:r>
        <w:rPr>
          <w:rFonts w:ascii="宋体" w:hAnsi="宋体"/>
          <w:sz w:val="24"/>
          <w:szCs w:val="24"/>
          <w:lang w:val="zh-CN"/>
        </w:rPr>
        <w:t>10</w:t>
      </w:r>
      <w:r>
        <w:rPr>
          <w:rFonts w:hint="eastAsia" w:ascii="宋体" w:hAnsi="宋体"/>
          <w:sz w:val="24"/>
          <w:szCs w:val="24"/>
          <w:lang w:val="zh-CN"/>
        </w:rPr>
        <w:t xml:space="preserve"> 磋商结束后，磋商小组将要求所有继续参加磋商的供应商在规定时间内提交最后报价。最后报价由其法定代表人或授权代表签字或者加盖公章，最后报价是供应商响应文件的有效组成部分。</w:t>
      </w:r>
    </w:p>
    <w:p w14:paraId="7EE20361">
      <w:pPr>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12.</w:t>
      </w:r>
      <w:r>
        <w:rPr>
          <w:rFonts w:ascii="宋体" w:hAnsi="宋体"/>
          <w:sz w:val="24"/>
          <w:szCs w:val="24"/>
          <w:lang w:val="zh-CN"/>
        </w:rPr>
        <w:t>11</w:t>
      </w:r>
      <w:r>
        <w:rPr>
          <w:rFonts w:hint="eastAsia" w:ascii="宋体" w:hAnsi="宋体"/>
          <w:sz w:val="24"/>
          <w:szCs w:val="24"/>
          <w:lang w:val="zh-CN"/>
        </w:rPr>
        <w:t xml:space="preserve"> 出现下列情况之一时，采购人根据磋商小组的意见有权宣布废标，并将理由通知所有供应商：</w:t>
      </w:r>
    </w:p>
    <w:p w14:paraId="3FA8A66F">
      <w:pPr>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（1）出现影响采购公正的违法、违规行为的；</w:t>
      </w:r>
    </w:p>
    <w:p w14:paraId="4405D674">
      <w:pPr>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（2）因重大变故，采购任务取消的。</w:t>
      </w:r>
    </w:p>
    <w:p w14:paraId="2F00E9B9">
      <w:pPr>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12.</w:t>
      </w:r>
      <w:r>
        <w:rPr>
          <w:rFonts w:ascii="宋体" w:hAnsi="宋体"/>
          <w:sz w:val="24"/>
          <w:szCs w:val="24"/>
          <w:lang w:val="zh-CN"/>
        </w:rPr>
        <w:t>12</w:t>
      </w:r>
      <w:r>
        <w:rPr>
          <w:rFonts w:hint="eastAsia" w:ascii="宋体" w:hAnsi="宋体"/>
          <w:sz w:val="24"/>
          <w:szCs w:val="24"/>
          <w:lang w:val="zh-CN"/>
        </w:rPr>
        <w:t xml:space="preserve"> 供应商存在以下情形的，认定为串通投标行为，并按无效投标处理：</w:t>
      </w:r>
    </w:p>
    <w:p w14:paraId="51131FEB">
      <w:pPr>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（1）不同供应商的响应文件内容雷同或错、漏之处一致且不能合理解释的；</w:t>
      </w:r>
    </w:p>
    <w:p w14:paraId="65BC5FAC">
      <w:pPr>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（2）不同供应商的法定代表人、委托代理人等由同一个单位缴纳社会保险的；</w:t>
      </w:r>
    </w:p>
    <w:p w14:paraId="06AF3982">
      <w:pPr>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（3）由同一人携带两个及以上供应商的企业资料参与磋商的（包括资格审查、领取磋商资料、交纳或退还磋商保证金）；</w:t>
      </w:r>
    </w:p>
    <w:p w14:paraId="0B3DD28C">
      <w:pPr>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（4）有关法律、法规或规章规定的其他串通投标行为。</w:t>
      </w:r>
    </w:p>
    <w:p w14:paraId="5DC2FFAD">
      <w:pPr>
        <w:autoSpaceDE w:val="0"/>
        <w:autoSpaceDN w:val="0"/>
        <w:adjustRightInd w:val="0"/>
        <w:snapToGrid w:val="0"/>
        <w:spacing w:line="360" w:lineRule="auto"/>
        <w:ind w:firstLine="420"/>
        <w:rPr>
          <w:rFonts w:ascii="宋体" w:hAnsi="宋体"/>
          <w:b/>
          <w:sz w:val="24"/>
          <w:szCs w:val="24"/>
          <w:lang w:val="zh-CN"/>
        </w:rPr>
      </w:pPr>
      <w:r>
        <w:rPr>
          <w:rFonts w:hint="eastAsia" w:ascii="宋体" w:hAnsi="宋体"/>
          <w:b/>
          <w:sz w:val="24"/>
          <w:szCs w:val="24"/>
          <w:lang w:val="zh-CN"/>
        </w:rPr>
        <w:t>13、评定成交方法和标准</w:t>
      </w:r>
    </w:p>
    <w:p w14:paraId="1CD7803E">
      <w:pPr>
        <w:autoSpaceDE w:val="0"/>
        <w:autoSpaceDN w:val="0"/>
        <w:adjustRightInd w:val="0"/>
        <w:snapToGrid w:val="0"/>
        <w:spacing w:line="360" w:lineRule="auto"/>
        <w:ind w:firstLine="420"/>
        <w:rPr>
          <w:rFonts w:ascii="宋体" w:hAnsi="宋体"/>
          <w:sz w:val="24"/>
          <w:szCs w:val="24"/>
        </w:rPr>
      </w:pPr>
      <w:r>
        <w:rPr>
          <w:rFonts w:hint="eastAsia" w:ascii="宋体" w:hAnsi="宋体"/>
          <w:sz w:val="24"/>
          <w:szCs w:val="24"/>
        </w:rPr>
        <w:t>13.</w:t>
      </w:r>
      <w:r>
        <w:rPr>
          <w:rFonts w:ascii="宋体" w:hAnsi="宋体"/>
          <w:sz w:val="24"/>
          <w:szCs w:val="24"/>
        </w:rPr>
        <w:t>1</w:t>
      </w:r>
      <w:r>
        <w:rPr>
          <w:rFonts w:hint="eastAsia" w:ascii="宋体" w:hAnsi="宋体"/>
          <w:sz w:val="24"/>
          <w:szCs w:val="24"/>
        </w:rPr>
        <w:t xml:space="preserve"> 采用综合评分法。即在全部满足竞争性磋商文件实质性要求前提下，按照磋商文件中规定的各项因素进行综合评审后，以评审总得分最高的前三名供应商推荐为成交候选供应商的评审方法，最终由采购人在磋商小组推荐的三名成交候选供应商中自主确定成交人。</w:t>
      </w:r>
    </w:p>
    <w:p w14:paraId="125F8FAF">
      <w:pPr>
        <w:autoSpaceDE w:val="0"/>
        <w:autoSpaceDN w:val="0"/>
        <w:adjustRightInd w:val="0"/>
        <w:snapToGrid w:val="0"/>
        <w:spacing w:line="360" w:lineRule="auto"/>
        <w:ind w:firstLine="420"/>
        <w:rPr>
          <w:rFonts w:ascii="宋体" w:hAnsi="宋体"/>
          <w:sz w:val="24"/>
          <w:szCs w:val="24"/>
        </w:rPr>
      </w:pPr>
      <w:r>
        <w:rPr>
          <w:rFonts w:hint="eastAsia" w:ascii="宋体" w:hAnsi="宋体"/>
          <w:sz w:val="24"/>
          <w:szCs w:val="24"/>
        </w:rPr>
        <w:t>13.2 综合评审的主要因素是：详见</w:t>
      </w:r>
      <w:r>
        <w:rPr>
          <w:rFonts w:ascii="宋体" w:hAnsi="宋体"/>
          <w:sz w:val="24"/>
          <w:szCs w:val="24"/>
        </w:rPr>
        <w:t>第三章</w:t>
      </w:r>
      <w:r>
        <w:rPr>
          <w:rFonts w:hint="eastAsia" w:ascii="宋体" w:hAnsi="宋体"/>
          <w:sz w:val="24"/>
          <w:szCs w:val="24"/>
        </w:rPr>
        <w:t>。</w:t>
      </w:r>
    </w:p>
    <w:p w14:paraId="7717F926">
      <w:pPr>
        <w:adjustRightInd w:val="0"/>
        <w:snapToGrid w:val="0"/>
        <w:spacing w:line="360" w:lineRule="auto"/>
        <w:ind w:firstLine="482" w:firstLineChars="200"/>
        <w:rPr>
          <w:rFonts w:ascii="宋体" w:hAnsi="宋体"/>
          <w:sz w:val="24"/>
          <w:szCs w:val="24"/>
          <w:lang w:val="zh-CN"/>
        </w:rPr>
      </w:pPr>
      <w:r>
        <w:rPr>
          <w:rFonts w:hint="eastAsia" w:ascii="宋体" w:hAnsi="宋体" w:cs="宋体"/>
          <w:b/>
          <w:bCs/>
          <w:kern w:val="0"/>
          <w:sz w:val="24"/>
          <w:szCs w:val="24"/>
          <w:lang w:val="zh-CN"/>
        </w:rPr>
        <w:t>13.3</w:t>
      </w:r>
      <w:r>
        <w:rPr>
          <w:rFonts w:hint="eastAsia" w:ascii="宋体" w:hAnsi="宋体"/>
          <w:b/>
          <w:sz w:val="24"/>
          <w:szCs w:val="24"/>
        </w:rPr>
        <w:t xml:space="preserve"> 评审标准详见磋商文件第三章。</w:t>
      </w:r>
    </w:p>
    <w:p w14:paraId="6DBE1911">
      <w:pPr>
        <w:autoSpaceDE w:val="0"/>
        <w:autoSpaceDN w:val="0"/>
        <w:adjustRightInd w:val="0"/>
        <w:snapToGrid w:val="0"/>
        <w:spacing w:line="360" w:lineRule="auto"/>
        <w:ind w:firstLine="420"/>
        <w:rPr>
          <w:rFonts w:ascii="宋体" w:hAnsi="宋体"/>
          <w:b/>
          <w:bCs/>
          <w:sz w:val="24"/>
          <w:szCs w:val="24"/>
          <w:lang w:val="zh-CN"/>
        </w:rPr>
      </w:pPr>
      <w:r>
        <w:rPr>
          <w:rFonts w:hint="eastAsia" w:ascii="宋体" w:hAnsi="宋体"/>
          <w:b/>
          <w:bCs/>
          <w:sz w:val="24"/>
          <w:szCs w:val="24"/>
          <w:lang w:val="zh-CN"/>
        </w:rPr>
        <w:t>14、确定成交供应商</w:t>
      </w:r>
    </w:p>
    <w:p w14:paraId="30D4A187">
      <w:pPr>
        <w:autoSpaceDE w:val="0"/>
        <w:autoSpaceDN w:val="0"/>
        <w:adjustRightInd w:val="0"/>
        <w:snapToGrid w:val="0"/>
        <w:spacing w:line="360" w:lineRule="auto"/>
        <w:ind w:firstLine="420"/>
        <w:rPr>
          <w:rFonts w:ascii="宋体" w:hAnsi="宋体"/>
          <w:sz w:val="24"/>
          <w:szCs w:val="24"/>
        </w:rPr>
      </w:pPr>
      <w:r>
        <w:rPr>
          <w:rFonts w:hint="eastAsia" w:ascii="宋体" w:hAnsi="宋体"/>
          <w:sz w:val="24"/>
          <w:szCs w:val="24"/>
        </w:rPr>
        <w:t>14.</w:t>
      </w:r>
      <w:r>
        <w:rPr>
          <w:rFonts w:ascii="宋体" w:hAnsi="宋体"/>
          <w:sz w:val="24"/>
          <w:szCs w:val="24"/>
        </w:rPr>
        <w:t>1</w:t>
      </w:r>
      <w:r>
        <w:rPr>
          <w:rFonts w:hint="eastAsia" w:ascii="宋体" w:hAnsi="宋体"/>
          <w:sz w:val="24"/>
          <w:szCs w:val="24"/>
        </w:rPr>
        <w:t>在综合比较与评价后按照得分高低顺序对供应商进行排列，磋商小组推荐3名成交候选人，最终由采购人自主确定成交人。得分相同的，按报价由低到高顺序排列。得分且报价相同的，按技术指标优劣顺序排列。技术分也相同时，由评标委员会随机确定排序。</w:t>
      </w:r>
    </w:p>
    <w:p w14:paraId="684597B9">
      <w:pPr>
        <w:autoSpaceDE w:val="0"/>
        <w:autoSpaceDN w:val="0"/>
        <w:adjustRightInd w:val="0"/>
        <w:snapToGrid w:val="0"/>
        <w:spacing w:line="360" w:lineRule="auto"/>
        <w:ind w:firstLine="420"/>
        <w:rPr>
          <w:rFonts w:ascii="宋体" w:hAnsi="宋体"/>
          <w:sz w:val="24"/>
          <w:szCs w:val="24"/>
        </w:rPr>
      </w:pPr>
      <w:r>
        <w:rPr>
          <w:rFonts w:hint="eastAsia" w:ascii="宋体" w:hAnsi="宋体"/>
          <w:sz w:val="24"/>
          <w:szCs w:val="24"/>
        </w:rPr>
        <w:t>14</w:t>
      </w:r>
      <w:r>
        <w:rPr>
          <w:rFonts w:ascii="宋体" w:hAnsi="宋体"/>
          <w:sz w:val="24"/>
          <w:szCs w:val="24"/>
        </w:rPr>
        <w:t>.</w:t>
      </w:r>
      <w:r>
        <w:rPr>
          <w:rFonts w:hint="eastAsia" w:ascii="宋体" w:hAnsi="宋体"/>
          <w:sz w:val="24"/>
          <w:szCs w:val="24"/>
        </w:rPr>
        <w:t>2 成交供应商确定后，请成交供应商及时到采购人</w:t>
      </w:r>
      <w:r>
        <w:rPr>
          <w:rFonts w:ascii="宋体" w:hAnsi="宋体"/>
          <w:sz w:val="24"/>
          <w:szCs w:val="24"/>
        </w:rPr>
        <w:t>领取《</w:t>
      </w:r>
      <w:r>
        <w:rPr>
          <w:rFonts w:hint="eastAsia" w:ascii="宋体" w:hAnsi="宋体"/>
          <w:sz w:val="24"/>
          <w:szCs w:val="24"/>
        </w:rPr>
        <w:t>成交</w:t>
      </w:r>
      <w:r>
        <w:rPr>
          <w:rFonts w:ascii="宋体" w:hAnsi="宋体"/>
          <w:sz w:val="24"/>
          <w:szCs w:val="24"/>
        </w:rPr>
        <w:t>通知书》</w:t>
      </w:r>
      <w:r>
        <w:rPr>
          <w:rFonts w:hint="eastAsia" w:ascii="宋体" w:hAnsi="宋体"/>
          <w:sz w:val="24"/>
          <w:szCs w:val="24"/>
        </w:rPr>
        <w:t>。</w:t>
      </w:r>
    </w:p>
    <w:p w14:paraId="50DA92AF">
      <w:pPr>
        <w:autoSpaceDE w:val="0"/>
        <w:autoSpaceDN w:val="0"/>
        <w:adjustRightInd w:val="0"/>
        <w:snapToGrid w:val="0"/>
        <w:spacing w:line="360" w:lineRule="auto"/>
        <w:ind w:firstLine="420"/>
        <w:rPr>
          <w:rFonts w:ascii="宋体" w:hAnsi="宋体"/>
          <w:sz w:val="24"/>
          <w:szCs w:val="24"/>
        </w:rPr>
      </w:pPr>
      <w:r>
        <w:rPr>
          <w:rFonts w:hint="eastAsia" w:ascii="宋体" w:hAnsi="宋体"/>
          <w:sz w:val="24"/>
          <w:szCs w:val="24"/>
        </w:rPr>
        <w:t>14</w:t>
      </w:r>
      <w:r>
        <w:rPr>
          <w:rFonts w:ascii="宋体" w:hAnsi="宋体"/>
          <w:sz w:val="24"/>
          <w:szCs w:val="24"/>
        </w:rPr>
        <w:t>.</w:t>
      </w:r>
      <w:r>
        <w:rPr>
          <w:rFonts w:hint="eastAsia" w:ascii="宋体" w:hAnsi="宋体"/>
          <w:sz w:val="24"/>
          <w:szCs w:val="24"/>
        </w:rPr>
        <w:t>3 成交通知书对采购人和成交供应商具有同等法律效力。</w:t>
      </w:r>
    </w:p>
    <w:p w14:paraId="6C3A34CA">
      <w:pPr>
        <w:autoSpaceDE w:val="0"/>
        <w:autoSpaceDN w:val="0"/>
        <w:adjustRightInd w:val="0"/>
        <w:snapToGrid w:val="0"/>
        <w:spacing w:line="360" w:lineRule="auto"/>
        <w:ind w:firstLine="420"/>
        <w:rPr>
          <w:rFonts w:ascii="宋体" w:hAnsi="宋体"/>
          <w:sz w:val="24"/>
          <w:szCs w:val="24"/>
        </w:rPr>
      </w:pPr>
      <w:r>
        <w:rPr>
          <w:rFonts w:hint="eastAsia" w:ascii="宋体" w:hAnsi="宋体"/>
          <w:sz w:val="24"/>
          <w:szCs w:val="24"/>
        </w:rPr>
        <w:t>14</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采购</w:t>
      </w:r>
      <w:r>
        <w:rPr>
          <w:rFonts w:ascii="宋体" w:hAnsi="宋体"/>
          <w:sz w:val="24"/>
          <w:szCs w:val="24"/>
        </w:rPr>
        <w:t>人对未</w:t>
      </w:r>
      <w:r>
        <w:rPr>
          <w:rFonts w:hint="eastAsia" w:ascii="宋体" w:hAnsi="宋体"/>
          <w:sz w:val="24"/>
          <w:szCs w:val="24"/>
        </w:rPr>
        <w:t>成交</w:t>
      </w:r>
      <w:r>
        <w:rPr>
          <w:rFonts w:ascii="宋体" w:hAnsi="宋体"/>
          <w:sz w:val="24"/>
          <w:szCs w:val="24"/>
        </w:rPr>
        <w:t>的</w:t>
      </w:r>
      <w:r>
        <w:rPr>
          <w:rFonts w:hint="eastAsia" w:ascii="宋体" w:hAnsi="宋体"/>
          <w:sz w:val="24"/>
          <w:szCs w:val="24"/>
        </w:rPr>
        <w:t>供应商</w:t>
      </w:r>
      <w:r>
        <w:rPr>
          <w:rFonts w:ascii="宋体" w:hAnsi="宋体"/>
          <w:sz w:val="24"/>
          <w:szCs w:val="24"/>
        </w:rPr>
        <w:t>不作未</w:t>
      </w:r>
      <w:r>
        <w:rPr>
          <w:rFonts w:hint="eastAsia" w:ascii="宋体" w:hAnsi="宋体"/>
          <w:sz w:val="24"/>
          <w:szCs w:val="24"/>
        </w:rPr>
        <w:t>成交</w:t>
      </w:r>
      <w:r>
        <w:rPr>
          <w:rFonts w:ascii="宋体" w:hAnsi="宋体"/>
          <w:sz w:val="24"/>
          <w:szCs w:val="24"/>
        </w:rPr>
        <w:t>原因的解释。</w:t>
      </w:r>
    </w:p>
    <w:p w14:paraId="100814D5">
      <w:pPr>
        <w:autoSpaceDE w:val="0"/>
        <w:autoSpaceDN w:val="0"/>
        <w:adjustRightInd w:val="0"/>
        <w:snapToGrid w:val="0"/>
        <w:spacing w:line="360" w:lineRule="auto"/>
        <w:ind w:firstLine="420"/>
        <w:rPr>
          <w:rFonts w:ascii="宋体" w:hAnsi="宋体"/>
          <w:sz w:val="24"/>
          <w:szCs w:val="24"/>
        </w:rPr>
      </w:pPr>
      <w:r>
        <w:rPr>
          <w:rFonts w:hint="eastAsia" w:ascii="宋体" w:hAnsi="宋体"/>
          <w:sz w:val="24"/>
          <w:szCs w:val="24"/>
        </w:rPr>
        <w:t>14</w:t>
      </w:r>
      <w:r>
        <w:rPr>
          <w:rFonts w:ascii="宋体" w:hAnsi="宋体"/>
          <w:sz w:val="24"/>
          <w:szCs w:val="24"/>
        </w:rPr>
        <w:t>.</w:t>
      </w:r>
      <w:r>
        <w:rPr>
          <w:rFonts w:hint="eastAsia" w:ascii="宋体" w:hAnsi="宋体"/>
          <w:sz w:val="24"/>
          <w:szCs w:val="24"/>
        </w:rPr>
        <w:t>5</w:t>
      </w:r>
      <w:r>
        <w:rPr>
          <w:rFonts w:ascii="宋体" w:hAnsi="宋体"/>
          <w:sz w:val="24"/>
          <w:szCs w:val="24"/>
        </w:rPr>
        <w:t xml:space="preserve"> 所有</w:t>
      </w:r>
      <w:r>
        <w:rPr>
          <w:rFonts w:hint="eastAsia" w:ascii="宋体" w:hAnsi="宋体"/>
          <w:sz w:val="24"/>
          <w:szCs w:val="24"/>
        </w:rPr>
        <w:t>响应文件</w:t>
      </w:r>
      <w:r>
        <w:rPr>
          <w:rFonts w:ascii="宋体" w:hAnsi="宋体"/>
          <w:sz w:val="24"/>
          <w:szCs w:val="24"/>
        </w:rPr>
        <w:t>都将作为档案保存，不论</w:t>
      </w:r>
      <w:r>
        <w:rPr>
          <w:rFonts w:hint="eastAsia" w:ascii="宋体" w:hAnsi="宋体"/>
          <w:sz w:val="24"/>
          <w:szCs w:val="24"/>
        </w:rPr>
        <w:t>成交</w:t>
      </w:r>
      <w:r>
        <w:rPr>
          <w:rFonts w:ascii="宋体" w:hAnsi="宋体"/>
          <w:sz w:val="24"/>
          <w:szCs w:val="24"/>
        </w:rPr>
        <w:t>与否，采购人均不退回。</w:t>
      </w:r>
    </w:p>
    <w:p w14:paraId="2113F524">
      <w:pPr>
        <w:autoSpaceDE w:val="0"/>
        <w:autoSpaceDN w:val="0"/>
        <w:adjustRightInd w:val="0"/>
        <w:snapToGrid w:val="0"/>
        <w:spacing w:line="360" w:lineRule="auto"/>
        <w:ind w:firstLine="472" w:firstLineChars="196"/>
        <w:rPr>
          <w:rFonts w:ascii="宋体" w:hAnsi="宋体"/>
          <w:b/>
          <w:sz w:val="24"/>
          <w:szCs w:val="24"/>
        </w:rPr>
      </w:pPr>
      <w:r>
        <w:rPr>
          <w:rFonts w:hint="eastAsia" w:ascii="宋体" w:hAnsi="宋体"/>
          <w:b/>
          <w:sz w:val="24"/>
          <w:szCs w:val="24"/>
          <w:lang w:val="zh-CN"/>
        </w:rPr>
        <w:t>15</w:t>
      </w:r>
      <w:r>
        <w:rPr>
          <w:rFonts w:hint="eastAsia" w:ascii="宋体" w:hAnsi="宋体"/>
          <w:b/>
          <w:bCs/>
          <w:sz w:val="24"/>
          <w:szCs w:val="24"/>
          <w:lang w:val="zh-CN"/>
        </w:rPr>
        <w:t>、</w:t>
      </w:r>
      <w:r>
        <w:rPr>
          <w:rFonts w:ascii="宋体" w:hAnsi="宋体"/>
          <w:b/>
          <w:sz w:val="24"/>
          <w:szCs w:val="24"/>
        </w:rPr>
        <w:t>编写</w:t>
      </w:r>
      <w:r>
        <w:rPr>
          <w:rFonts w:hint="eastAsia" w:ascii="宋体" w:hAnsi="宋体"/>
          <w:b/>
          <w:sz w:val="24"/>
          <w:szCs w:val="24"/>
        </w:rPr>
        <w:t>评审</w:t>
      </w:r>
      <w:r>
        <w:rPr>
          <w:rFonts w:ascii="宋体" w:hAnsi="宋体"/>
          <w:b/>
          <w:sz w:val="24"/>
          <w:szCs w:val="24"/>
        </w:rPr>
        <w:t>报告</w:t>
      </w:r>
    </w:p>
    <w:p w14:paraId="15B01DAE">
      <w:pPr>
        <w:autoSpaceDE w:val="0"/>
        <w:autoSpaceDN w:val="0"/>
        <w:adjustRightInd w:val="0"/>
        <w:snapToGrid w:val="0"/>
        <w:spacing w:line="360" w:lineRule="auto"/>
        <w:ind w:firstLine="420"/>
        <w:rPr>
          <w:rFonts w:ascii="宋体" w:hAnsi="宋体"/>
          <w:sz w:val="24"/>
          <w:szCs w:val="24"/>
        </w:rPr>
      </w:pPr>
      <w:r>
        <w:rPr>
          <w:rFonts w:hint="eastAsia" w:ascii="宋体" w:hAnsi="宋体"/>
          <w:sz w:val="24"/>
          <w:szCs w:val="24"/>
        </w:rPr>
        <w:t>15.1 磋商小组根据磋商过程和</w:t>
      </w:r>
      <w:r>
        <w:rPr>
          <w:rFonts w:ascii="宋体" w:hAnsi="宋体"/>
          <w:sz w:val="24"/>
          <w:szCs w:val="24"/>
        </w:rPr>
        <w:t>结果编写</w:t>
      </w:r>
      <w:r>
        <w:rPr>
          <w:rFonts w:hint="eastAsia" w:ascii="宋体" w:hAnsi="宋体"/>
          <w:sz w:val="24"/>
          <w:szCs w:val="24"/>
        </w:rPr>
        <w:t>评审</w:t>
      </w:r>
      <w:r>
        <w:rPr>
          <w:rFonts w:ascii="宋体" w:hAnsi="宋体"/>
          <w:sz w:val="24"/>
          <w:szCs w:val="24"/>
        </w:rPr>
        <w:t>报告</w:t>
      </w:r>
      <w:r>
        <w:rPr>
          <w:rFonts w:hint="eastAsia" w:ascii="宋体" w:hAnsi="宋体"/>
          <w:sz w:val="24"/>
          <w:szCs w:val="24"/>
        </w:rPr>
        <w:t>。</w:t>
      </w:r>
    </w:p>
    <w:p w14:paraId="206F4726">
      <w:pPr>
        <w:autoSpaceDE w:val="0"/>
        <w:autoSpaceDN w:val="0"/>
        <w:adjustRightInd w:val="0"/>
        <w:snapToGrid w:val="0"/>
        <w:spacing w:line="360" w:lineRule="auto"/>
        <w:ind w:firstLine="420"/>
        <w:rPr>
          <w:rFonts w:ascii="宋体" w:hAnsi="宋体"/>
          <w:b/>
          <w:bCs/>
          <w:sz w:val="24"/>
          <w:szCs w:val="24"/>
          <w:lang w:val="zh-CN"/>
        </w:rPr>
      </w:pPr>
      <w:r>
        <w:rPr>
          <w:rFonts w:hint="eastAsia" w:ascii="宋体" w:hAnsi="宋体"/>
          <w:b/>
          <w:sz w:val="24"/>
          <w:szCs w:val="24"/>
          <w:lang w:val="zh-CN"/>
        </w:rPr>
        <w:t>16、</w:t>
      </w:r>
      <w:r>
        <w:rPr>
          <w:rFonts w:hint="eastAsia" w:ascii="宋体" w:hAnsi="宋体"/>
          <w:b/>
          <w:bCs/>
          <w:sz w:val="24"/>
          <w:szCs w:val="24"/>
          <w:lang w:val="zh-CN"/>
        </w:rPr>
        <w:t>签订合同</w:t>
      </w:r>
    </w:p>
    <w:p w14:paraId="6809335A">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rPr>
        <w:t>16</w:t>
      </w:r>
      <w:r>
        <w:rPr>
          <w:rFonts w:ascii="宋体" w:hAnsi="宋体"/>
          <w:sz w:val="24"/>
          <w:szCs w:val="24"/>
          <w:lang w:val="zh-CN"/>
        </w:rPr>
        <w:t>.</w:t>
      </w:r>
      <w:r>
        <w:rPr>
          <w:rFonts w:hint="eastAsia" w:ascii="宋体" w:hAnsi="宋体"/>
          <w:sz w:val="24"/>
          <w:szCs w:val="24"/>
        </w:rPr>
        <w:t>1 成交供应商应当</w:t>
      </w:r>
      <w:r>
        <w:rPr>
          <w:rFonts w:hint="eastAsia" w:ascii="宋体" w:hAnsi="宋体"/>
          <w:sz w:val="24"/>
          <w:szCs w:val="24"/>
          <w:lang w:val="zh-CN"/>
        </w:rPr>
        <w:t>自成交通知书发出之日起三十日内，</w:t>
      </w:r>
      <w:r>
        <w:rPr>
          <w:rFonts w:hint="eastAsia" w:ascii="宋体" w:hAnsi="宋体"/>
          <w:sz w:val="24"/>
          <w:szCs w:val="24"/>
        </w:rPr>
        <w:t>与采购人签订合同，所签订的合同不得对磋商文件和响应文件作实质性修改。</w:t>
      </w:r>
    </w:p>
    <w:p w14:paraId="4403E687">
      <w:pPr>
        <w:autoSpaceDE w:val="0"/>
        <w:autoSpaceDN w:val="0"/>
        <w:adjustRightInd w:val="0"/>
        <w:snapToGrid w:val="0"/>
        <w:spacing w:line="360" w:lineRule="auto"/>
        <w:ind w:firstLine="420"/>
        <w:rPr>
          <w:rFonts w:ascii="宋体" w:hAnsi="宋体"/>
          <w:sz w:val="24"/>
          <w:szCs w:val="24"/>
        </w:rPr>
      </w:pPr>
      <w:r>
        <w:rPr>
          <w:rFonts w:hint="eastAsia" w:ascii="宋体" w:hAnsi="宋体"/>
          <w:sz w:val="24"/>
          <w:szCs w:val="24"/>
        </w:rPr>
        <w:t>16</w:t>
      </w:r>
      <w:r>
        <w:rPr>
          <w:rFonts w:hint="eastAsia" w:ascii="宋体" w:hAnsi="宋体"/>
          <w:sz w:val="24"/>
          <w:szCs w:val="24"/>
          <w:lang w:val="zh-CN"/>
        </w:rPr>
        <w:t xml:space="preserve">.2 </w:t>
      </w:r>
      <w:r>
        <w:rPr>
          <w:rFonts w:hint="eastAsia" w:ascii="宋体" w:hAnsi="宋体"/>
          <w:sz w:val="24"/>
          <w:szCs w:val="24"/>
        </w:rPr>
        <w:t>采购人不得向成交供应商提出任何不合理的要求作为签订合同的条件，不得与成交供应商私下订立背离合同实质性内容的协议。</w:t>
      </w:r>
    </w:p>
    <w:p w14:paraId="64AF92EC">
      <w:pPr>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16</w:t>
      </w:r>
      <w:r>
        <w:rPr>
          <w:rFonts w:ascii="宋体" w:hAnsi="宋体"/>
          <w:sz w:val="24"/>
          <w:szCs w:val="24"/>
          <w:lang w:val="zh-CN"/>
        </w:rPr>
        <w:t>.</w:t>
      </w:r>
      <w:r>
        <w:rPr>
          <w:rFonts w:hint="eastAsia" w:ascii="宋体" w:hAnsi="宋体"/>
          <w:sz w:val="24"/>
          <w:szCs w:val="24"/>
          <w:lang w:val="zh-CN"/>
        </w:rPr>
        <w:t>3</w:t>
      </w:r>
      <w:r>
        <w:rPr>
          <w:rFonts w:hint="eastAsia" w:ascii="宋体" w:hAnsi="宋体"/>
          <w:sz w:val="24"/>
          <w:szCs w:val="24"/>
        </w:rPr>
        <w:t xml:space="preserve"> 除不可抗力等因素外，</w:t>
      </w:r>
      <w:r>
        <w:rPr>
          <w:rFonts w:hint="eastAsia" w:ascii="宋体" w:hAnsi="宋体"/>
          <w:sz w:val="24"/>
          <w:szCs w:val="24"/>
          <w:lang w:val="zh-CN"/>
        </w:rPr>
        <w:t>成交通知书发出后，采购人改变成交结果，或者成交供应商拒绝签订采购合同的，应当承担相应的法律责任。</w:t>
      </w:r>
    </w:p>
    <w:p w14:paraId="3EA44552">
      <w:pPr>
        <w:autoSpaceDE w:val="0"/>
        <w:autoSpaceDN w:val="0"/>
        <w:adjustRightInd w:val="0"/>
        <w:snapToGrid w:val="0"/>
        <w:spacing w:line="360" w:lineRule="auto"/>
        <w:ind w:firstLine="420"/>
        <w:rPr>
          <w:rFonts w:ascii="宋体" w:hAnsi="宋体"/>
          <w:b/>
          <w:sz w:val="24"/>
          <w:szCs w:val="24"/>
        </w:rPr>
      </w:pPr>
      <w:r>
        <w:rPr>
          <w:rFonts w:hint="eastAsia" w:ascii="宋体" w:hAnsi="宋体"/>
          <w:sz w:val="24"/>
          <w:szCs w:val="24"/>
          <w:lang w:val="zh-CN"/>
        </w:rPr>
        <w:t xml:space="preserve">16.4 </w:t>
      </w:r>
      <w:r>
        <w:rPr>
          <w:rFonts w:hint="eastAsia" w:ascii="宋体" w:hAnsi="宋体"/>
          <w:b/>
          <w:sz w:val="24"/>
          <w:szCs w:val="24"/>
        </w:rPr>
        <w:t>成交供应商除发生法律规定的</w:t>
      </w:r>
      <w:r>
        <w:rPr>
          <w:rFonts w:ascii="宋体" w:hAnsi="宋体"/>
          <w:b/>
          <w:sz w:val="24"/>
          <w:szCs w:val="24"/>
        </w:rPr>
        <w:t>不能预见、不能避免并不能克服的客观情况</w:t>
      </w:r>
      <w:r>
        <w:rPr>
          <w:rFonts w:hint="eastAsia" w:ascii="宋体" w:hAnsi="宋体"/>
          <w:b/>
          <w:sz w:val="24"/>
          <w:szCs w:val="24"/>
        </w:rPr>
        <w:t>外不得放弃或拒绝签订合同的。放弃或拒绝签订合同的，采购部门视情将其列入不良行为名单。</w:t>
      </w:r>
    </w:p>
    <w:p w14:paraId="3F042F9C">
      <w:pPr>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16</w:t>
      </w:r>
      <w:r>
        <w:rPr>
          <w:rFonts w:ascii="宋体" w:hAnsi="宋体"/>
          <w:sz w:val="24"/>
          <w:szCs w:val="24"/>
          <w:lang w:val="zh-CN"/>
        </w:rPr>
        <w:t>.</w:t>
      </w:r>
      <w:r>
        <w:rPr>
          <w:rFonts w:hint="eastAsia" w:ascii="宋体" w:hAnsi="宋体"/>
          <w:sz w:val="24"/>
          <w:szCs w:val="24"/>
          <w:lang w:val="zh-CN"/>
        </w:rPr>
        <w:t>5成交供应商拒绝签订采购合同的，</w:t>
      </w:r>
      <w:r>
        <w:rPr>
          <w:rFonts w:hint="eastAsia" w:ascii="宋体" w:hAnsi="宋体"/>
          <w:sz w:val="24"/>
          <w:szCs w:val="24"/>
        </w:rPr>
        <w:t>或因不可抗力或者自身原因不能履行采购合同的，</w:t>
      </w:r>
      <w:r>
        <w:rPr>
          <w:rFonts w:hint="eastAsia" w:ascii="宋体" w:hAnsi="宋体"/>
          <w:sz w:val="24"/>
          <w:szCs w:val="24"/>
          <w:lang w:val="zh-CN"/>
        </w:rPr>
        <w:t>采购人可以视情在另外两名成交候选供应商中任选其一签订合同，也可以重新开展采购活动。</w:t>
      </w:r>
    </w:p>
    <w:p w14:paraId="1EA33ED4">
      <w:pPr>
        <w:autoSpaceDE w:val="0"/>
        <w:autoSpaceDN w:val="0"/>
        <w:adjustRightInd w:val="0"/>
        <w:snapToGrid w:val="0"/>
        <w:spacing w:line="360" w:lineRule="auto"/>
        <w:ind w:firstLine="420"/>
        <w:rPr>
          <w:rFonts w:ascii="宋体" w:hAnsi="宋体"/>
          <w:sz w:val="24"/>
          <w:szCs w:val="24"/>
          <w:lang w:val="zh-CN"/>
        </w:rPr>
      </w:pPr>
      <w:r>
        <w:rPr>
          <w:rFonts w:hint="eastAsia" w:ascii="宋体" w:hAnsi="宋体"/>
          <w:sz w:val="24"/>
          <w:szCs w:val="24"/>
          <w:lang w:val="zh-CN"/>
        </w:rPr>
        <w:t>16.6 采购合同履行中，采购人需追加与合同标的相同的服务的，在不改变合同其他条款的前提下，可以与供应商协商签订补充合同，但所有补充合同的采购金额不得超过原合同采购金额的百分之十。</w:t>
      </w:r>
    </w:p>
    <w:p w14:paraId="77AE059B">
      <w:pPr>
        <w:pStyle w:val="5"/>
        <w:spacing w:line="360" w:lineRule="auto"/>
        <w:ind w:firstLine="0"/>
        <w:outlineLvl w:val="1"/>
        <w:rPr>
          <w:rFonts w:ascii="宋体" w:hAnsi="宋体"/>
          <w:b/>
          <w:bCs/>
          <w:sz w:val="24"/>
          <w:szCs w:val="24"/>
          <w:lang w:val="zh-CN"/>
        </w:rPr>
      </w:pPr>
      <w:bookmarkStart w:id="62" w:name="_Toc115787251"/>
      <w:r>
        <w:rPr>
          <w:rFonts w:hint="eastAsia" w:ascii="宋体" w:hAnsi="宋体"/>
          <w:b/>
          <w:bCs/>
          <w:sz w:val="24"/>
          <w:szCs w:val="24"/>
          <w:lang w:val="zh-CN"/>
        </w:rPr>
        <w:t>五、询问、质疑、投诉和诚实信用</w:t>
      </w:r>
      <w:bookmarkEnd w:id="62"/>
    </w:p>
    <w:p w14:paraId="6A1A0D28">
      <w:pPr>
        <w:autoSpaceDE w:val="0"/>
        <w:autoSpaceDN w:val="0"/>
        <w:adjustRightInd w:val="0"/>
        <w:snapToGrid w:val="0"/>
        <w:spacing w:line="360" w:lineRule="auto"/>
        <w:ind w:firstLine="420"/>
        <w:rPr>
          <w:rFonts w:ascii="宋体" w:hAnsi="宋体"/>
          <w:b/>
          <w:bCs/>
          <w:sz w:val="24"/>
          <w:szCs w:val="24"/>
          <w:lang w:val="zh-CN"/>
        </w:rPr>
      </w:pPr>
      <w:r>
        <w:rPr>
          <w:rFonts w:hint="eastAsia" w:ascii="宋体" w:hAnsi="宋体"/>
          <w:b/>
          <w:bCs/>
          <w:sz w:val="24"/>
          <w:szCs w:val="24"/>
          <w:lang w:val="zh-CN"/>
        </w:rPr>
        <w:t>17、询问</w:t>
      </w:r>
    </w:p>
    <w:p w14:paraId="0477AF7F">
      <w:pPr>
        <w:autoSpaceDE w:val="0"/>
        <w:autoSpaceDN w:val="0"/>
        <w:adjustRightInd w:val="0"/>
        <w:spacing w:line="360" w:lineRule="auto"/>
        <w:ind w:firstLine="420"/>
        <w:rPr>
          <w:rFonts w:ascii="宋体" w:hAnsi="宋体"/>
          <w:b/>
          <w:sz w:val="24"/>
          <w:szCs w:val="24"/>
          <w:lang w:val="zh-CN"/>
        </w:rPr>
      </w:pPr>
      <w:r>
        <w:rPr>
          <w:rFonts w:hint="eastAsia" w:ascii="宋体" w:hAnsi="宋体"/>
          <w:sz w:val="24"/>
          <w:szCs w:val="24"/>
          <w:lang w:val="zh-CN"/>
        </w:rPr>
        <w:t>17</w:t>
      </w:r>
      <w:r>
        <w:rPr>
          <w:rFonts w:ascii="宋体" w:hAnsi="宋体"/>
          <w:sz w:val="24"/>
          <w:szCs w:val="24"/>
          <w:lang w:val="zh-CN"/>
        </w:rPr>
        <w:t>.1</w:t>
      </w:r>
      <w:r>
        <w:rPr>
          <w:rFonts w:hint="eastAsia" w:ascii="宋体" w:hAnsi="宋体"/>
          <w:sz w:val="24"/>
          <w:szCs w:val="24"/>
          <w:lang w:val="zh-CN"/>
        </w:rPr>
        <w:t xml:space="preserve"> 供应商对采购活动事项有疑问的，可以向采购人提出询问，采购人将在两个工作日内作出答复，但答复的内容不涉及商业秘密</w:t>
      </w:r>
      <w:r>
        <w:rPr>
          <w:rFonts w:hint="eastAsia" w:ascii="宋体" w:hAnsi="宋体"/>
          <w:b/>
          <w:sz w:val="24"/>
          <w:szCs w:val="24"/>
          <w:lang w:val="zh-CN"/>
        </w:rPr>
        <w:t>。</w:t>
      </w:r>
    </w:p>
    <w:p w14:paraId="7E944731">
      <w:pPr>
        <w:autoSpaceDE w:val="0"/>
        <w:autoSpaceDN w:val="0"/>
        <w:adjustRightInd w:val="0"/>
        <w:spacing w:line="360" w:lineRule="auto"/>
        <w:ind w:firstLine="420"/>
        <w:rPr>
          <w:rFonts w:ascii="宋体" w:hAnsi="宋体"/>
          <w:b/>
          <w:sz w:val="24"/>
          <w:szCs w:val="24"/>
          <w:lang w:val="zh-CN"/>
        </w:rPr>
      </w:pPr>
      <w:r>
        <w:rPr>
          <w:rFonts w:hint="eastAsia" w:ascii="宋体" w:hAnsi="宋体"/>
          <w:b/>
          <w:sz w:val="24"/>
          <w:szCs w:val="24"/>
          <w:lang w:val="zh-CN"/>
        </w:rPr>
        <w:t>18、质疑</w:t>
      </w:r>
    </w:p>
    <w:p w14:paraId="197C1B83">
      <w:pPr>
        <w:autoSpaceDE w:val="0"/>
        <w:autoSpaceDN w:val="0"/>
        <w:adjustRightInd w:val="0"/>
        <w:spacing w:line="360" w:lineRule="auto"/>
        <w:ind w:firstLine="420"/>
        <w:rPr>
          <w:rFonts w:ascii="宋体" w:hAnsi="宋体"/>
          <w:sz w:val="24"/>
          <w:szCs w:val="24"/>
          <w:lang w:val="zh-CN"/>
        </w:rPr>
      </w:pPr>
      <w:r>
        <w:rPr>
          <w:rFonts w:hint="eastAsia" w:ascii="宋体" w:hAnsi="宋体"/>
          <w:sz w:val="24"/>
          <w:szCs w:val="24"/>
          <w:lang w:val="zh-CN"/>
        </w:rPr>
        <w:t>18</w:t>
      </w:r>
      <w:r>
        <w:rPr>
          <w:rFonts w:ascii="宋体" w:hAnsi="宋体"/>
          <w:sz w:val="24"/>
          <w:szCs w:val="24"/>
          <w:lang w:val="zh-CN"/>
        </w:rPr>
        <w:t>.</w:t>
      </w:r>
      <w:r>
        <w:rPr>
          <w:rFonts w:hint="eastAsia" w:ascii="宋体" w:hAnsi="宋体"/>
          <w:sz w:val="24"/>
          <w:szCs w:val="24"/>
          <w:lang w:val="zh-CN"/>
        </w:rPr>
        <w:t>1 供应商认为采购文件、采购过程和成交结果使自己的合法权益受到损害的，可以在知道或者应当知道其权益受到损害之日起七个工作日内，将质疑文件原件送达采购人。</w:t>
      </w:r>
    </w:p>
    <w:p w14:paraId="49383C0B">
      <w:pPr>
        <w:autoSpaceDE w:val="0"/>
        <w:autoSpaceDN w:val="0"/>
        <w:adjustRightInd w:val="0"/>
        <w:spacing w:line="360" w:lineRule="auto"/>
        <w:ind w:firstLine="480" w:firstLineChars="200"/>
        <w:rPr>
          <w:rFonts w:ascii="宋体" w:hAnsi="宋体" w:cs="Tahoma"/>
          <w:snapToGrid w:val="0"/>
          <w:sz w:val="24"/>
          <w:szCs w:val="24"/>
        </w:rPr>
      </w:pPr>
      <w:r>
        <w:rPr>
          <w:rFonts w:hint="eastAsia" w:ascii="宋体" w:hAnsi="宋体"/>
          <w:sz w:val="24"/>
          <w:szCs w:val="24"/>
          <w:lang w:val="zh-CN"/>
        </w:rPr>
        <w:t>18.2 质疑文件应包括以下主要内容，并</w:t>
      </w:r>
      <w:r>
        <w:rPr>
          <w:rFonts w:hint="eastAsia" w:ascii="宋体" w:hAnsi="宋体"/>
          <w:sz w:val="24"/>
          <w:szCs w:val="24"/>
        </w:rPr>
        <w:t>按照</w:t>
      </w:r>
      <w:r>
        <w:rPr>
          <w:rFonts w:ascii="宋体" w:hAnsi="宋体"/>
          <w:sz w:val="24"/>
          <w:szCs w:val="24"/>
        </w:rPr>
        <w:t>“</w:t>
      </w:r>
      <w:r>
        <w:rPr>
          <w:rFonts w:hint="eastAsia" w:ascii="宋体" w:hAnsi="宋体"/>
          <w:sz w:val="24"/>
          <w:szCs w:val="24"/>
        </w:rPr>
        <w:t>谁主张、谁举证</w:t>
      </w:r>
      <w:r>
        <w:rPr>
          <w:rFonts w:ascii="宋体" w:hAnsi="宋体"/>
          <w:sz w:val="24"/>
          <w:szCs w:val="24"/>
        </w:rPr>
        <w:t>”</w:t>
      </w:r>
      <w:r>
        <w:rPr>
          <w:rFonts w:hint="eastAsia" w:ascii="宋体" w:hAnsi="宋体"/>
          <w:sz w:val="24"/>
          <w:szCs w:val="24"/>
        </w:rPr>
        <w:t>的原则，附上相关证明材料。否则，采购人不予受理：</w:t>
      </w:r>
    </w:p>
    <w:p w14:paraId="0D644877">
      <w:pPr>
        <w:autoSpaceDE w:val="0"/>
        <w:autoSpaceDN w:val="0"/>
        <w:adjustRightInd w:val="0"/>
        <w:spacing w:line="360" w:lineRule="auto"/>
        <w:ind w:left="420" w:leftChars="200"/>
        <w:rPr>
          <w:rFonts w:ascii="宋体" w:hAnsi="宋体"/>
          <w:sz w:val="24"/>
          <w:szCs w:val="24"/>
          <w:lang w:val="zh-CN"/>
        </w:rPr>
      </w:pPr>
      <w:r>
        <w:rPr>
          <w:rFonts w:hint="eastAsia" w:ascii="宋体" w:hAnsi="宋体"/>
          <w:sz w:val="24"/>
          <w:szCs w:val="24"/>
        </w:rPr>
        <w:t>（1）质疑项目名称、采购编号、包号、采购公告发布时间、磋商时间；</w:t>
      </w:r>
    </w:p>
    <w:p w14:paraId="5B3CC83B">
      <w:pPr>
        <w:autoSpaceDE w:val="0"/>
        <w:autoSpaceDN w:val="0"/>
        <w:adjustRightInd w:val="0"/>
        <w:spacing w:line="360" w:lineRule="auto"/>
        <w:ind w:firstLine="420"/>
        <w:rPr>
          <w:rFonts w:ascii="宋体" w:hAnsi="宋体"/>
          <w:sz w:val="24"/>
          <w:szCs w:val="24"/>
          <w:lang w:val="zh-CN"/>
        </w:rPr>
      </w:pPr>
      <w:r>
        <w:rPr>
          <w:rFonts w:hint="eastAsia" w:ascii="宋体" w:hAnsi="宋体"/>
          <w:sz w:val="24"/>
          <w:szCs w:val="24"/>
          <w:lang w:val="zh-CN"/>
        </w:rPr>
        <w:t>（2）提起质疑的日期、具体的质疑事项及事实根据（具体条款）；</w:t>
      </w:r>
    </w:p>
    <w:p w14:paraId="45DA78D1">
      <w:pPr>
        <w:autoSpaceDE w:val="0"/>
        <w:autoSpaceDN w:val="0"/>
        <w:adjustRightInd w:val="0"/>
        <w:spacing w:line="360" w:lineRule="auto"/>
        <w:ind w:firstLine="420"/>
        <w:rPr>
          <w:rFonts w:ascii="宋体" w:hAnsi="宋体"/>
          <w:sz w:val="24"/>
          <w:szCs w:val="24"/>
          <w:lang w:val="zh-CN"/>
        </w:rPr>
      </w:pPr>
      <w:r>
        <w:rPr>
          <w:rFonts w:hint="eastAsia" w:ascii="宋体" w:hAnsi="宋体"/>
          <w:sz w:val="24"/>
          <w:szCs w:val="24"/>
          <w:lang w:val="zh-CN"/>
        </w:rPr>
        <w:t>（3）认为自己合法权益受到损害或可能受到损害的相关证据材料。</w:t>
      </w:r>
    </w:p>
    <w:p w14:paraId="6959CDA7">
      <w:pPr>
        <w:autoSpaceDE w:val="0"/>
        <w:autoSpaceDN w:val="0"/>
        <w:adjustRightInd w:val="0"/>
        <w:spacing w:line="360" w:lineRule="auto"/>
        <w:ind w:firstLine="420"/>
        <w:rPr>
          <w:rFonts w:ascii="宋体" w:hAnsi="宋体"/>
          <w:sz w:val="24"/>
          <w:szCs w:val="24"/>
          <w:lang w:val="zh-CN"/>
        </w:rPr>
      </w:pPr>
      <w:r>
        <w:rPr>
          <w:rFonts w:hint="eastAsia" w:ascii="宋体" w:hAnsi="宋体"/>
          <w:sz w:val="24"/>
          <w:szCs w:val="24"/>
          <w:lang w:val="zh-CN"/>
        </w:rPr>
        <w:t>（4）质疑供应商名称、地址、邮编、联系人、联系电话</w:t>
      </w:r>
      <w:r>
        <w:rPr>
          <w:rFonts w:hint="eastAsia" w:ascii="宋体" w:hAnsi="宋体"/>
          <w:sz w:val="24"/>
          <w:szCs w:val="24"/>
        </w:rPr>
        <w:t>（包括座机、手机、传真号码等）</w:t>
      </w:r>
      <w:r>
        <w:rPr>
          <w:rFonts w:hint="eastAsia" w:ascii="宋体" w:hAnsi="宋体"/>
          <w:sz w:val="24"/>
          <w:szCs w:val="24"/>
          <w:lang w:val="zh-CN"/>
        </w:rPr>
        <w:t>；</w:t>
      </w:r>
    </w:p>
    <w:p w14:paraId="353376CE">
      <w:pPr>
        <w:autoSpaceDE w:val="0"/>
        <w:autoSpaceDN w:val="0"/>
        <w:adjustRightInd w:val="0"/>
        <w:spacing w:line="360" w:lineRule="auto"/>
        <w:ind w:firstLine="420"/>
        <w:rPr>
          <w:rFonts w:ascii="宋体" w:hAnsi="宋体"/>
          <w:sz w:val="24"/>
          <w:szCs w:val="24"/>
          <w:lang w:val="zh-CN"/>
        </w:rPr>
      </w:pPr>
      <w:r>
        <w:rPr>
          <w:rFonts w:hint="eastAsia" w:ascii="宋体" w:hAnsi="宋体"/>
          <w:sz w:val="24"/>
          <w:szCs w:val="24"/>
          <w:lang w:val="zh-CN"/>
        </w:rPr>
        <w:t>（5）质疑文件应当署名，质疑人为自然人的，应当由本人签字并附有效身份证明；质疑人为法人或其他组织的，应当由法定代表人签字并加盖单位公章。</w:t>
      </w:r>
    </w:p>
    <w:p w14:paraId="12618F56">
      <w:pPr>
        <w:autoSpaceDE w:val="0"/>
        <w:autoSpaceDN w:val="0"/>
        <w:adjustRightInd w:val="0"/>
        <w:spacing w:line="360" w:lineRule="auto"/>
        <w:ind w:firstLine="420"/>
        <w:rPr>
          <w:rFonts w:ascii="宋体" w:hAnsi="宋体"/>
          <w:sz w:val="24"/>
          <w:szCs w:val="24"/>
        </w:rPr>
      </w:pPr>
      <w:r>
        <w:rPr>
          <w:rFonts w:hint="eastAsia" w:ascii="宋体" w:hAnsi="宋体"/>
          <w:sz w:val="24"/>
          <w:szCs w:val="24"/>
          <w:lang w:val="zh-CN"/>
        </w:rPr>
        <w:t>（6）供应商委托代理质疑的，应当提交授权委托书，并载明委托代理的具体权限和事项。</w:t>
      </w:r>
    </w:p>
    <w:p w14:paraId="43C48932">
      <w:pPr>
        <w:spacing w:line="360" w:lineRule="auto"/>
        <w:ind w:firstLine="480" w:firstLineChars="200"/>
        <w:rPr>
          <w:rFonts w:ascii="宋体" w:hAnsi="宋体"/>
          <w:sz w:val="24"/>
          <w:szCs w:val="24"/>
        </w:rPr>
      </w:pPr>
      <w:r>
        <w:rPr>
          <w:rFonts w:hint="eastAsia" w:ascii="宋体" w:hAnsi="宋体"/>
          <w:sz w:val="24"/>
          <w:szCs w:val="24"/>
          <w:lang w:val="zh-CN"/>
        </w:rPr>
        <w:t>18.3质疑</w:t>
      </w:r>
      <w:r>
        <w:rPr>
          <w:rFonts w:hint="eastAsia" w:ascii="宋体" w:hAnsi="宋体"/>
          <w:sz w:val="24"/>
          <w:szCs w:val="24"/>
        </w:rPr>
        <w:t>供应商是指直接参加本项目采购活动的供应商；对采购文件提出质疑的，应自供应商获得采购文件之日起计算；对采购过程提出质疑的，自采购程序环节结束之日起计算；对采购结果提出质疑的，自采购</w:t>
      </w:r>
      <w:r>
        <w:rPr>
          <w:rFonts w:ascii="宋体" w:hAnsi="宋体"/>
          <w:sz w:val="24"/>
          <w:szCs w:val="24"/>
          <w:lang w:val="zh-CN"/>
        </w:rPr>
        <w:t>结果公告期限届满之日起计算。</w:t>
      </w:r>
      <w:r>
        <w:rPr>
          <w:rFonts w:hint="eastAsia" w:ascii="宋体" w:hAnsi="宋体"/>
          <w:sz w:val="24"/>
          <w:szCs w:val="24"/>
        </w:rPr>
        <w:t xml:space="preserve"> </w:t>
      </w:r>
    </w:p>
    <w:p w14:paraId="65D00A6B">
      <w:pPr>
        <w:spacing w:line="360" w:lineRule="auto"/>
        <w:ind w:firstLine="480" w:firstLineChars="200"/>
        <w:rPr>
          <w:rFonts w:ascii="宋体" w:hAnsi="宋体"/>
          <w:sz w:val="24"/>
          <w:szCs w:val="24"/>
          <w:lang w:val="zh-CN"/>
        </w:rPr>
      </w:pPr>
      <w:r>
        <w:rPr>
          <w:rFonts w:hint="eastAsia" w:ascii="宋体" w:hAnsi="宋体"/>
          <w:sz w:val="24"/>
          <w:szCs w:val="24"/>
        </w:rPr>
        <w:t xml:space="preserve">18.4 </w:t>
      </w:r>
      <w:r>
        <w:rPr>
          <w:rFonts w:hint="eastAsia" w:ascii="宋体" w:hAnsi="宋体"/>
          <w:sz w:val="24"/>
          <w:szCs w:val="24"/>
          <w:lang w:val="zh-CN"/>
        </w:rPr>
        <w:t>采购人</w:t>
      </w:r>
      <w:r>
        <w:rPr>
          <w:rFonts w:hint="eastAsia" w:ascii="宋体" w:hAnsi="宋体"/>
          <w:sz w:val="24"/>
          <w:szCs w:val="24"/>
        </w:rPr>
        <w:t>在收到供应商的书面质疑后将及时组织调查核实，在</w:t>
      </w:r>
      <w:r>
        <w:rPr>
          <w:rFonts w:hint="eastAsia" w:ascii="宋体" w:hAnsi="宋体"/>
          <w:bCs/>
          <w:sz w:val="24"/>
          <w:szCs w:val="24"/>
          <w:lang w:val="zh-CN"/>
        </w:rPr>
        <w:t>七个工作日内</w:t>
      </w:r>
      <w:r>
        <w:rPr>
          <w:rFonts w:hint="eastAsia" w:ascii="宋体" w:hAnsi="宋体"/>
          <w:sz w:val="24"/>
          <w:szCs w:val="24"/>
          <w:lang w:val="zh-CN"/>
        </w:rPr>
        <w:t>作出答复，并以书面通知质疑供应商和其他有关供应商，答复的内容不涉及商业秘密。采购人</w:t>
      </w:r>
      <w:r>
        <w:rPr>
          <w:rFonts w:hint="eastAsia" w:ascii="宋体" w:hAnsi="宋体"/>
          <w:sz w:val="24"/>
          <w:szCs w:val="24"/>
        </w:rPr>
        <w:t>遵循“谁</w:t>
      </w:r>
      <w:r>
        <w:rPr>
          <w:rFonts w:ascii="宋体" w:hAnsi="宋体"/>
          <w:sz w:val="24"/>
          <w:szCs w:val="24"/>
        </w:rPr>
        <w:t>过错</w:t>
      </w:r>
      <w:r>
        <w:rPr>
          <w:rFonts w:hint="eastAsia" w:ascii="宋体" w:hAnsi="宋体"/>
          <w:sz w:val="24"/>
          <w:szCs w:val="24"/>
        </w:rPr>
        <w:t>谁负担”的</w:t>
      </w:r>
      <w:r>
        <w:rPr>
          <w:rFonts w:ascii="宋体" w:hAnsi="宋体"/>
          <w:sz w:val="24"/>
          <w:szCs w:val="24"/>
        </w:rPr>
        <w:t>原则</w:t>
      </w:r>
      <w:r>
        <w:rPr>
          <w:rFonts w:hint="eastAsia" w:ascii="宋体" w:hAnsi="宋体"/>
          <w:sz w:val="24"/>
          <w:szCs w:val="24"/>
        </w:rPr>
        <w:t>，有过错的一方承担调查论证费用。</w:t>
      </w:r>
    </w:p>
    <w:p w14:paraId="792CA11B">
      <w:pPr>
        <w:autoSpaceDE w:val="0"/>
        <w:autoSpaceDN w:val="0"/>
        <w:adjustRightInd w:val="0"/>
        <w:spacing w:line="360" w:lineRule="auto"/>
        <w:ind w:firstLine="420"/>
        <w:rPr>
          <w:rFonts w:ascii="宋体" w:hAnsi="宋体"/>
          <w:sz w:val="24"/>
          <w:szCs w:val="24"/>
          <w:lang w:val="zh-CN"/>
        </w:rPr>
      </w:pPr>
      <w:r>
        <w:rPr>
          <w:rFonts w:hint="eastAsia" w:ascii="宋体" w:hAnsi="宋体"/>
          <w:b/>
          <w:bCs/>
          <w:sz w:val="24"/>
          <w:szCs w:val="24"/>
          <w:lang w:val="zh-CN"/>
        </w:rPr>
        <w:t>19、投诉</w:t>
      </w:r>
    </w:p>
    <w:p w14:paraId="402D7AC6">
      <w:pPr>
        <w:autoSpaceDE w:val="0"/>
        <w:autoSpaceDN w:val="0"/>
        <w:adjustRightInd w:val="0"/>
        <w:spacing w:line="360" w:lineRule="auto"/>
        <w:ind w:firstLine="420"/>
        <w:rPr>
          <w:rFonts w:ascii="宋体" w:hAnsi="宋体"/>
          <w:sz w:val="24"/>
          <w:szCs w:val="24"/>
          <w:lang w:val="zh-CN"/>
        </w:rPr>
      </w:pPr>
      <w:r>
        <w:rPr>
          <w:rFonts w:hint="eastAsia" w:ascii="宋体" w:hAnsi="宋体"/>
          <w:sz w:val="24"/>
          <w:szCs w:val="24"/>
          <w:lang w:val="zh-CN"/>
        </w:rPr>
        <w:t>19.1</w:t>
      </w:r>
      <w:r>
        <w:rPr>
          <w:rFonts w:ascii="宋体" w:hAnsi="宋体"/>
          <w:sz w:val="24"/>
          <w:szCs w:val="24"/>
          <w:lang w:val="zh-CN"/>
        </w:rPr>
        <w:t xml:space="preserve"> </w:t>
      </w:r>
      <w:r>
        <w:rPr>
          <w:rFonts w:hint="eastAsia" w:ascii="宋体" w:hAnsi="宋体"/>
          <w:sz w:val="24"/>
          <w:szCs w:val="24"/>
          <w:lang w:val="zh-CN"/>
        </w:rPr>
        <w:t>质疑供应商对采购人的答复不满意，或采购人未在规定的时间内作出答复的，可以在答复期满后</w:t>
      </w:r>
      <w:r>
        <w:rPr>
          <w:rFonts w:hint="eastAsia" w:ascii="宋体" w:hAnsi="宋体"/>
          <w:bCs/>
          <w:sz w:val="24"/>
          <w:szCs w:val="24"/>
          <w:lang w:val="zh-CN"/>
        </w:rPr>
        <w:t>十五个工作日内</w:t>
      </w:r>
      <w:r>
        <w:rPr>
          <w:rFonts w:hint="eastAsia" w:ascii="宋体" w:hAnsi="宋体"/>
          <w:sz w:val="24"/>
          <w:szCs w:val="24"/>
          <w:lang w:val="zh-CN"/>
        </w:rPr>
        <w:t>向采购人相关部门投诉。</w:t>
      </w:r>
    </w:p>
    <w:p w14:paraId="2BCBE269">
      <w:pPr>
        <w:autoSpaceDE w:val="0"/>
        <w:autoSpaceDN w:val="0"/>
        <w:adjustRightInd w:val="0"/>
        <w:spacing w:line="360" w:lineRule="auto"/>
        <w:ind w:firstLine="420"/>
        <w:rPr>
          <w:rFonts w:ascii="宋体" w:hAnsi="宋体"/>
          <w:b/>
          <w:bCs/>
          <w:sz w:val="24"/>
          <w:szCs w:val="24"/>
          <w:lang w:val="zh-CN"/>
        </w:rPr>
      </w:pPr>
      <w:r>
        <w:rPr>
          <w:rFonts w:hint="eastAsia" w:ascii="宋体" w:hAnsi="宋体"/>
          <w:b/>
          <w:bCs/>
          <w:sz w:val="24"/>
          <w:szCs w:val="24"/>
          <w:lang w:val="zh-CN"/>
        </w:rPr>
        <w:t>20、诚实信用</w:t>
      </w:r>
    </w:p>
    <w:p w14:paraId="47B99FE0">
      <w:pPr>
        <w:autoSpaceDE w:val="0"/>
        <w:autoSpaceDN w:val="0"/>
        <w:adjustRightInd w:val="0"/>
        <w:spacing w:line="360" w:lineRule="auto"/>
        <w:ind w:firstLine="420"/>
        <w:rPr>
          <w:rFonts w:ascii="宋体" w:hAnsi="宋体"/>
          <w:sz w:val="24"/>
          <w:szCs w:val="24"/>
          <w:lang w:val="zh-CN"/>
        </w:rPr>
      </w:pPr>
      <w:r>
        <w:rPr>
          <w:rFonts w:hint="eastAsia" w:ascii="宋体" w:hAnsi="宋体"/>
          <w:sz w:val="24"/>
          <w:szCs w:val="24"/>
          <w:lang w:val="zh-CN"/>
        </w:rPr>
        <w:t>20</w:t>
      </w:r>
      <w:r>
        <w:rPr>
          <w:rFonts w:ascii="宋体" w:hAnsi="宋体"/>
          <w:sz w:val="24"/>
          <w:szCs w:val="24"/>
          <w:lang w:val="zh-CN"/>
        </w:rPr>
        <w:t>.1</w:t>
      </w:r>
      <w:r>
        <w:rPr>
          <w:rFonts w:hint="eastAsia" w:ascii="宋体" w:hAnsi="宋体"/>
          <w:sz w:val="24"/>
          <w:szCs w:val="24"/>
          <w:lang w:val="zh-CN"/>
        </w:rPr>
        <w:t xml:space="preserve"> 供应商之间不得相互串通报价，不得妨碍其他供应商的公平竞争，不得损害采购人和其他供应商的合法权益。</w:t>
      </w:r>
    </w:p>
    <w:p w14:paraId="37372406">
      <w:pPr>
        <w:autoSpaceDE w:val="0"/>
        <w:autoSpaceDN w:val="0"/>
        <w:adjustRightInd w:val="0"/>
        <w:spacing w:line="360" w:lineRule="auto"/>
        <w:ind w:firstLine="420"/>
        <w:rPr>
          <w:rFonts w:ascii="宋体" w:hAnsi="宋体"/>
          <w:sz w:val="24"/>
          <w:szCs w:val="24"/>
          <w:lang w:val="zh-CN"/>
        </w:rPr>
      </w:pPr>
      <w:r>
        <w:rPr>
          <w:rFonts w:hint="eastAsia" w:ascii="宋体" w:hAnsi="宋体"/>
          <w:sz w:val="24"/>
          <w:szCs w:val="24"/>
          <w:lang w:val="zh-CN"/>
        </w:rPr>
        <w:t>20.2 供应商不得以向采购人工作人员、磋商小组成员行贿或者采取其他不正当手段谋取成交。经查实供应商有此行为的，</w:t>
      </w:r>
      <w:r>
        <w:rPr>
          <w:rFonts w:ascii="宋体" w:hAnsi="宋体"/>
          <w:sz w:val="24"/>
          <w:szCs w:val="24"/>
          <w:lang w:val="zh-CN"/>
        </w:rPr>
        <w:t>采购管理部门将</w:t>
      </w:r>
      <w:r>
        <w:rPr>
          <w:rFonts w:hint="eastAsia" w:ascii="宋体" w:hAnsi="宋体"/>
          <w:sz w:val="24"/>
          <w:szCs w:val="24"/>
          <w:lang w:val="zh-CN"/>
        </w:rPr>
        <w:t>其</w:t>
      </w:r>
      <w:r>
        <w:rPr>
          <w:rFonts w:ascii="宋体" w:hAnsi="宋体"/>
          <w:sz w:val="24"/>
          <w:szCs w:val="24"/>
          <w:lang w:val="zh-CN"/>
        </w:rPr>
        <w:t>列入不良行为记录名单，</w:t>
      </w:r>
      <w:r>
        <w:rPr>
          <w:rFonts w:hint="eastAsia" w:ascii="宋体" w:hAnsi="宋体"/>
          <w:sz w:val="24"/>
          <w:szCs w:val="24"/>
          <w:lang w:val="zh-CN"/>
        </w:rPr>
        <w:t>3年内不得</w:t>
      </w:r>
      <w:r>
        <w:rPr>
          <w:rFonts w:ascii="宋体" w:hAnsi="宋体"/>
          <w:sz w:val="24"/>
          <w:szCs w:val="24"/>
          <w:lang w:val="zh-CN"/>
        </w:rPr>
        <w:t>再参加采购人组织的其他采购活动</w:t>
      </w:r>
      <w:r>
        <w:rPr>
          <w:rFonts w:ascii="宋体" w:hAnsi="宋体"/>
          <w:sz w:val="24"/>
          <w:szCs w:val="24"/>
        </w:rPr>
        <w:t>。</w:t>
      </w:r>
    </w:p>
    <w:p w14:paraId="596DD73D">
      <w:pPr>
        <w:autoSpaceDE w:val="0"/>
        <w:autoSpaceDN w:val="0"/>
        <w:adjustRightInd w:val="0"/>
        <w:spacing w:line="360" w:lineRule="auto"/>
        <w:ind w:firstLine="420"/>
        <w:rPr>
          <w:rFonts w:ascii="宋体" w:hAnsi="宋体"/>
          <w:sz w:val="24"/>
          <w:szCs w:val="24"/>
        </w:rPr>
      </w:pPr>
      <w:r>
        <w:rPr>
          <w:rFonts w:hint="eastAsia" w:ascii="宋体" w:hAnsi="宋体"/>
          <w:sz w:val="24"/>
          <w:szCs w:val="24"/>
          <w:lang w:val="zh-CN"/>
        </w:rPr>
        <w:t>20.3 供应商不得虚假质疑和恶意质疑，并对质疑内容的真实性承担责任。</w:t>
      </w:r>
      <w:r>
        <w:rPr>
          <w:rFonts w:hint="eastAsia" w:ascii="宋体" w:hAnsi="宋体"/>
          <w:sz w:val="24"/>
          <w:szCs w:val="24"/>
        </w:rPr>
        <w:t>供应商或者其他利害关系人通过捏造事实、伪造证明材料等方式提出异议或投诉，阻碍采购活动正常进行的，属于严重不良行为，</w:t>
      </w:r>
      <w:r>
        <w:rPr>
          <w:rFonts w:ascii="宋体" w:hAnsi="宋体"/>
          <w:sz w:val="24"/>
          <w:szCs w:val="24"/>
          <w:lang w:val="zh-CN"/>
        </w:rPr>
        <w:t>采购管理部门将</w:t>
      </w:r>
      <w:r>
        <w:rPr>
          <w:rFonts w:hint="eastAsia" w:ascii="宋体" w:hAnsi="宋体"/>
          <w:sz w:val="24"/>
          <w:szCs w:val="24"/>
          <w:lang w:val="zh-CN"/>
        </w:rPr>
        <w:t>其</w:t>
      </w:r>
      <w:r>
        <w:rPr>
          <w:rFonts w:ascii="宋体" w:hAnsi="宋体"/>
          <w:sz w:val="24"/>
          <w:szCs w:val="24"/>
          <w:lang w:val="zh-CN"/>
        </w:rPr>
        <w:t>列入不良行为记录名单，</w:t>
      </w:r>
      <w:r>
        <w:rPr>
          <w:rFonts w:hint="eastAsia" w:ascii="宋体" w:hAnsi="宋体"/>
          <w:sz w:val="24"/>
          <w:szCs w:val="24"/>
          <w:lang w:val="zh-CN"/>
        </w:rPr>
        <w:t>3年内不得</w:t>
      </w:r>
      <w:r>
        <w:rPr>
          <w:rFonts w:ascii="宋体" w:hAnsi="宋体"/>
          <w:sz w:val="24"/>
          <w:szCs w:val="24"/>
          <w:lang w:val="zh-CN"/>
        </w:rPr>
        <w:t>再参加采购人组织的其他采购活动</w:t>
      </w:r>
      <w:r>
        <w:rPr>
          <w:rFonts w:ascii="宋体" w:hAnsi="宋体"/>
          <w:sz w:val="24"/>
          <w:szCs w:val="24"/>
        </w:rPr>
        <w:t>。</w:t>
      </w:r>
    </w:p>
    <w:p w14:paraId="65E72FED">
      <w:pPr>
        <w:spacing w:line="360" w:lineRule="auto"/>
        <w:ind w:firstLine="480" w:firstLineChars="200"/>
        <w:rPr>
          <w:rFonts w:ascii="宋体" w:hAnsi="宋体"/>
          <w:sz w:val="24"/>
          <w:szCs w:val="24"/>
          <w:lang w:val="zh-CN"/>
        </w:rPr>
      </w:pPr>
      <w:r>
        <w:rPr>
          <w:rFonts w:hint="eastAsia" w:ascii="宋体" w:hAnsi="宋体"/>
          <w:sz w:val="24"/>
          <w:szCs w:val="24"/>
          <w:lang w:val="zh-CN"/>
        </w:rPr>
        <w:t>20.4 供应商不得虚假承诺，否则，按照提供虚假材料谋取成交处理。</w:t>
      </w:r>
    </w:p>
    <w:p w14:paraId="71267F18">
      <w:pPr>
        <w:adjustRightInd w:val="0"/>
        <w:snapToGrid w:val="0"/>
        <w:spacing w:line="360" w:lineRule="auto"/>
        <w:ind w:firstLine="480" w:firstLineChars="200"/>
        <w:rPr>
          <w:rFonts w:ascii="宋体" w:hAnsi="宋体"/>
          <w:sz w:val="24"/>
          <w:szCs w:val="24"/>
        </w:rPr>
      </w:pPr>
      <w:r>
        <w:rPr>
          <w:rFonts w:hint="eastAsia" w:ascii="宋体" w:hAnsi="宋体"/>
          <w:sz w:val="24"/>
          <w:szCs w:val="24"/>
          <w:lang w:val="zh-CN"/>
        </w:rPr>
        <w:t>20.5 供应商应自觉遵守磋商、评审纪律，扰乱磋商、评审现场秩序的，属于失信行为，采购管理部门将其列入不良行为记录名单，3年内不得再参加采购人组织的其他采购活动。</w:t>
      </w:r>
    </w:p>
    <w:p w14:paraId="6CE6C06A">
      <w:pPr>
        <w:pageBreakBefore/>
        <w:tabs>
          <w:tab w:val="center" w:pos="4567"/>
        </w:tabs>
        <w:spacing w:line="360" w:lineRule="auto"/>
        <w:jc w:val="center"/>
        <w:outlineLvl w:val="0"/>
        <w:rPr>
          <w:rFonts w:eastAsia="黑体"/>
          <w:bCs/>
          <w:sz w:val="36"/>
          <w:szCs w:val="36"/>
        </w:rPr>
      </w:pPr>
      <w:bookmarkStart w:id="63" w:name="_Toc115787252"/>
      <w:bookmarkStart w:id="64" w:name="_Toc155798103"/>
      <w:r>
        <w:rPr>
          <w:rFonts w:hint="eastAsia" w:eastAsia="黑体"/>
          <w:bCs/>
          <w:sz w:val="36"/>
          <w:szCs w:val="36"/>
        </w:rPr>
        <w:t>第三章 评标办法和标准</w:t>
      </w:r>
      <w:bookmarkEnd w:id="63"/>
      <w:bookmarkEnd w:id="64"/>
    </w:p>
    <w:p w14:paraId="6B7096B8">
      <w:pPr>
        <w:spacing w:line="360" w:lineRule="auto"/>
        <w:ind w:firstLine="482" w:firstLineChars="200"/>
        <w:rPr>
          <w:rFonts w:ascii="宋体" w:hAnsi="宋体"/>
          <w:b/>
          <w:bCs/>
          <w:sz w:val="24"/>
          <w:szCs w:val="24"/>
        </w:rPr>
      </w:pPr>
      <w:r>
        <w:rPr>
          <w:rFonts w:hint="eastAsia" w:ascii="宋体" w:hAnsi="宋体"/>
          <w:b/>
          <w:bCs/>
          <w:sz w:val="24"/>
          <w:szCs w:val="24"/>
        </w:rPr>
        <w:t>1</w:t>
      </w:r>
      <w:bookmarkStart w:id="65" w:name="OLE_LINK44"/>
      <w:r>
        <w:rPr>
          <w:rFonts w:hint="eastAsia" w:ascii="宋体" w:hAnsi="宋体"/>
          <w:b/>
          <w:bCs/>
          <w:sz w:val="24"/>
          <w:szCs w:val="24"/>
        </w:rPr>
        <w:t xml:space="preserve">. </w:t>
      </w:r>
      <w:bookmarkEnd w:id="65"/>
      <w:r>
        <w:rPr>
          <w:rFonts w:hint="eastAsia" w:ascii="宋体" w:hAnsi="宋体"/>
          <w:b/>
          <w:bCs/>
          <w:sz w:val="24"/>
          <w:szCs w:val="24"/>
        </w:rPr>
        <w:t>评标方法</w:t>
      </w:r>
    </w:p>
    <w:p w14:paraId="5953068E">
      <w:pPr>
        <w:spacing w:line="360" w:lineRule="auto"/>
        <w:ind w:firstLine="480" w:firstLineChars="200"/>
        <w:rPr>
          <w:rFonts w:ascii="宋体" w:hAnsi="宋体"/>
          <w:sz w:val="24"/>
          <w:szCs w:val="24"/>
        </w:rPr>
      </w:pPr>
      <w:r>
        <w:rPr>
          <w:rFonts w:hint="eastAsia" w:ascii="宋体" w:hAnsi="宋体"/>
          <w:sz w:val="24"/>
          <w:szCs w:val="24"/>
        </w:rPr>
        <w:t>本次评标采用</w:t>
      </w:r>
      <w:r>
        <w:rPr>
          <w:rFonts w:hint="eastAsia" w:ascii="宋体" w:hAnsi="宋体"/>
          <w:b/>
          <w:bCs/>
          <w:sz w:val="24"/>
          <w:szCs w:val="24"/>
        </w:rPr>
        <w:t>综合评分法</w:t>
      </w:r>
      <w:r>
        <w:rPr>
          <w:rFonts w:hint="eastAsia" w:ascii="宋体" w:hAnsi="宋体"/>
          <w:sz w:val="24"/>
          <w:szCs w:val="24"/>
        </w:rPr>
        <w:t>。</w:t>
      </w:r>
    </w:p>
    <w:p w14:paraId="612F5D36">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本项目按照磋商文件本章规定的评分标准进行打分，推荐三名中标候选人。按照评审得分由高到低顺序推荐中标候选人。若评分相等时，以评标价低的投标人排名在前。得分且投标报价相同的，按技术方案优劣顺序排列。</w:t>
      </w:r>
    </w:p>
    <w:p w14:paraId="7117C279">
      <w:pPr>
        <w:spacing w:line="360" w:lineRule="auto"/>
        <w:ind w:firstLine="482" w:firstLineChars="200"/>
        <w:rPr>
          <w:rFonts w:ascii="宋体" w:hAnsi="宋体"/>
          <w:b/>
          <w:bCs/>
          <w:sz w:val="24"/>
          <w:szCs w:val="24"/>
        </w:rPr>
      </w:pPr>
      <w:r>
        <w:rPr>
          <w:rFonts w:hint="eastAsia" w:ascii="宋体" w:hAnsi="宋体"/>
          <w:b/>
          <w:bCs/>
          <w:sz w:val="24"/>
          <w:szCs w:val="24"/>
        </w:rPr>
        <w:t>2. 评分标准</w:t>
      </w:r>
    </w:p>
    <w:tbl>
      <w:tblPr>
        <w:tblStyle w:val="64"/>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45"/>
        <w:gridCol w:w="6804"/>
        <w:gridCol w:w="922"/>
      </w:tblGrid>
      <w:tr w14:paraId="11B9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78C7E57">
            <w:pPr>
              <w:widowControl/>
              <w:spacing w:line="360" w:lineRule="auto"/>
              <w:jc w:val="center"/>
              <w:rPr>
                <w:rFonts w:ascii="宋体" w:hAnsi="宋体"/>
                <w:b/>
                <w:szCs w:val="21"/>
              </w:rPr>
            </w:pPr>
            <w:r>
              <w:rPr>
                <w:rFonts w:hint="eastAsia" w:ascii="宋体" w:hAnsi="宋体"/>
                <w:b/>
                <w:szCs w:val="21"/>
              </w:rPr>
              <w:t>序号</w:t>
            </w:r>
          </w:p>
        </w:tc>
        <w:tc>
          <w:tcPr>
            <w:tcW w:w="1245" w:type="dxa"/>
            <w:vAlign w:val="center"/>
          </w:tcPr>
          <w:p w14:paraId="23D7961D">
            <w:pPr>
              <w:widowControl/>
              <w:spacing w:line="360" w:lineRule="auto"/>
              <w:jc w:val="center"/>
              <w:rPr>
                <w:rFonts w:ascii="宋体" w:hAnsi="宋体"/>
                <w:b/>
                <w:szCs w:val="21"/>
              </w:rPr>
            </w:pPr>
            <w:r>
              <w:rPr>
                <w:rFonts w:hint="eastAsia" w:ascii="宋体" w:hAnsi="宋体"/>
                <w:b/>
                <w:szCs w:val="21"/>
              </w:rPr>
              <w:t>评审</w:t>
            </w:r>
          </w:p>
          <w:p w14:paraId="20A6AD74">
            <w:pPr>
              <w:widowControl/>
              <w:spacing w:line="360" w:lineRule="auto"/>
              <w:jc w:val="center"/>
              <w:rPr>
                <w:rFonts w:ascii="宋体" w:hAnsi="宋体"/>
                <w:b/>
                <w:szCs w:val="21"/>
              </w:rPr>
            </w:pPr>
            <w:r>
              <w:rPr>
                <w:rFonts w:hint="eastAsia" w:ascii="宋体" w:hAnsi="宋体"/>
                <w:b/>
                <w:szCs w:val="21"/>
              </w:rPr>
              <w:t>因素</w:t>
            </w:r>
          </w:p>
        </w:tc>
        <w:tc>
          <w:tcPr>
            <w:tcW w:w="6804" w:type="dxa"/>
            <w:vAlign w:val="center"/>
          </w:tcPr>
          <w:p w14:paraId="35590997">
            <w:pPr>
              <w:widowControl/>
              <w:spacing w:line="360" w:lineRule="auto"/>
              <w:jc w:val="center"/>
              <w:rPr>
                <w:rFonts w:ascii="宋体" w:hAnsi="宋体"/>
                <w:b/>
                <w:szCs w:val="21"/>
              </w:rPr>
            </w:pPr>
            <w:r>
              <w:rPr>
                <w:rFonts w:hint="eastAsia" w:ascii="宋体" w:hAnsi="宋体"/>
                <w:b/>
                <w:szCs w:val="21"/>
              </w:rPr>
              <w:t>评审标准</w:t>
            </w:r>
          </w:p>
        </w:tc>
        <w:tc>
          <w:tcPr>
            <w:tcW w:w="922" w:type="dxa"/>
            <w:vAlign w:val="center"/>
          </w:tcPr>
          <w:p w14:paraId="33D1C684">
            <w:pPr>
              <w:widowControl/>
              <w:spacing w:line="360" w:lineRule="auto"/>
              <w:jc w:val="center"/>
              <w:rPr>
                <w:rFonts w:ascii="宋体" w:hAnsi="宋体"/>
                <w:b/>
                <w:szCs w:val="21"/>
              </w:rPr>
            </w:pPr>
            <w:r>
              <w:rPr>
                <w:rFonts w:hint="eastAsia" w:ascii="宋体" w:hAnsi="宋体"/>
                <w:b/>
                <w:szCs w:val="21"/>
              </w:rPr>
              <w:t>分值</w:t>
            </w:r>
          </w:p>
        </w:tc>
      </w:tr>
      <w:tr w14:paraId="56E9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2E01DAF">
            <w:pPr>
              <w:widowControl/>
              <w:spacing w:line="360" w:lineRule="auto"/>
              <w:jc w:val="center"/>
              <w:rPr>
                <w:rFonts w:ascii="宋体" w:hAnsi="宋体"/>
                <w:b/>
                <w:szCs w:val="21"/>
              </w:rPr>
            </w:pPr>
            <w:r>
              <w:rPr>
                <w:rFonts w:hint="eastAsia" w:ascii="宋体" w:hAnsi="宋体"/>
                <w:b/>
                <w:szCs w:val="21"/>
              </w:rPr>
              <w:t>1</w:t>
            </w:r>
          </w:p>
        </w:tc>
        <w:tc>
          <w:tcPr>
            <w:tcW w:w="1245" w:type="dxa"/>
            <w:vAlign w:val="center"/>
          </w:tcPr>
          <w:p w14:paraId="3ADF8C87">
            <w:pPr>
              <w:widowControl/>
              <w:spacing w:line="360" w:lineRule="auto"/>
              <w:jc w:val="center"/>
              <w:rPr>
                <w:rFonts w:ascii="宋体" w:hAnsi="宋体"/>
                <w:b/>
                <w:szCs w:val="21"/>
              </w:rPr>
            </w:pPr>
            <w:r>
              <w:rPr>
                <w:rFonts w:hint="eastAsia" w:ascii="宋体" w:hAnsi="宋体"/>
                <w:b/>
                <w:szCs w:val="21"/>
              </w:rPr>
              <w:t>价格</w:t>
            </w:r>
          </w:p>
        </w:tc>
        <w:tc>
          <w:tcPr>
            <w:tcW w:w="6804" w:type="dxa"/>
            <w:vAlign w:val="center"/>
          </w:tcPr>
          <w:p w14:paraId="2D1EFB99">
            <w:pPr>
              <w:spacing w:line="400" w:lineRule="exact"/>
              <w:jc w:val="left"/>
              <w:rPr>
                <w:rFonts w:ascii="宋体" w:hAnsi="宋体"/>
                <w:szCs w:val="21"/>
              </w:rPr>
            </w:pPr>
            <w:bookmarkStart w:id="66" w:name="OLE_LINK38"/>
            <w:bookmarkStart w:id="67" w:name="OLE_LINK39"/>
            <w:r>
              <w:rPr>
                <w:rFonts w:hint="eastAsia" w:ascii="宋体" w:hAnsi="宋体"/>
                <w:szCs w:val="21"/>
              </w:rPr>
              <w:t>通过审查的所有有效投标报价中的最低报价为评标基准价，得满分。其他投标人的报价得分统一按照下列公式计算：投标报价得分=(评标基准价/投标报价)*40。</w:t>
            </w:r>
            <w:bookmarkEnd w:id="66"/>
            <w:bookmarkEnd w:id="67"/>
          </w:p>
        </w:tc>
        <w:tc>
          <w:tcPr>
            <w:tcW w:w="922" w:type="dxa"/>
            <w:vAlign w:val="center"/>
          </w:tcPr>
          <w:p w14:paraId="18A6ED48">
            <w:pPr>
              <w:widowControl/>
              <w:spacing w:line="360" w:lineRule="auto"/>
              <w:jc w:val="center"/>
              <w:rPr>
                <w:rFonts w:ascii="宋体" w:hAnsi="宋体"/>
                <w:b/>
                <w:bCs/>
                <w:szCs w:val="21"/>
              </w:rPr>
            </w:pPr>
            <w:r>
              <w:rPr>
                <w:rFonts w:hint="eastAsia" w:ascii="宋体" w:hAnsi="宋体"/>
                <w:b/>
                <w:bCs/>
                <w:szCs w:val="21"/>
              </w:rPr>
              <w:t>40</w:t>
            </w:r>
          </w:p>
        </w:tc>
      </w:tr>
      <w:tr w14:paraId="3E1E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05" w:type="dxa"/>
            <w:vAlign w:val="center"/>
          </w:tcPr>
          <w:p w14:paraId="076DE093">
            <w:pPr>
              <w:widowControl/>
              <w:spacing w:line="360" w:lineRule="auto"/>
              <w:ind w:right="-24"/>
              <w:jc w:val="center"/>
              <w:rPr>
                <w:rFonts w:ascii="宋体" w:hAnsi="宋体"/>
                <w:b/>
                <w:szCs w:val="21"/>
              </w:rPr>
            </w:pPr>
            <w:r>
              <w:rPr>
                <w:rFonts w:hint="eastAsia" w:ascii="宋体" w:hAnsi="宋体"/>
                <w:b/>
                <w:szCs w:val="21"/>
              </w:rPr>
              <w:t>2</w:t>
            </w:r>
          </w:p>
        </w:tc>
        <w:tc>
          <w:tcPr>
            <w:tcW w:w="1245" w:type="dxa"/>
            <w:vAlign w:val="center"/>
          </w:tcPr>
          <w:p w14:paraId="1D4D175C">
            <w:pPr>
              <w:spacing w:line="360" w:lineRule="auto"/>
              <w:jc w:val="center"/>
              <w:rPr>
                <w:rFonts w:ascii="宋体" w:hAnsi="宋体"/>
                <w:b/>
                <w:szCs w:val="21"/>
              </w:rPr>
            </w:pPr>
            <w:r>
              <w:rPr>
                <w:rFonts w:hint="eastAsia" w:ascii="宋体" w:hAnsi="宋体"/>
                <w:b/>
                <w:szCs w:val="21"/>
              </w:rPr>
              <w:t>企业资质</w:t>
            </w:r>
          </w:p>
        </w:tc>
        <w:tc>
          <w:tcPr>
            <w:tcW w:w="6804" w:type="dxa"/>
            <w:vAlign w:val="center"/>
          </w:tcPr>
          <w:p w14:paraId="3185E17D">
            <w:pPr>
              <w:widowControl/>
              <w:snapToGrid w:val="0"/>
              <w:spacing w:line="400" w:lineRule="exact"/>
              <w:rPr>
                <w:rFonts w:ascii="宋体" w:hAnsi="宋体"/>
                <w:szCs w:val="21"/>
              </w:rPr>
            </w:pPr>
            <w:bookmarkStart w:id="68" w:name="OLE_LINK64"/>
            <w:bookmarkStart w:id="69" w:name="OLE_LINK66"/>
            <w:r>
              <w:rPr>
                <w:rFonts w:hint="eastAsia" w:ascii="宋体" w:hAnsi="宋体"/>
                <w:szCs w:val="21"/>
              </w:rPr>
              <w:t>供应商具备软件企业认定证书、软件产品登记证书、信息系统安全等级保护资质、ISO9001质量管理体系认证、ISO27001信息安全管理体系认证，每提供1项有效资质得1分，满分5分。（资质均需在有效期内，过期无效）</w:t>
            </w:r>
            <w:bookmarkEnd w:id="68"/>
            <w:bookmarkEnd w:id="69"/>
          </w:p>
        </w:tc>
        <w:tc>
          <w:tcPr>
            <w:tcW w:w="922" w:type="dxa"/>
            <w:vAlign w:val="center"/>
          </w:tcPr>
          <w:p w14:paraId="782853AB">
            <w:pPr>
              <w:snapToGrid w:val="0"/>
              <w:spacing w:line="360" w:lineRule="auto"/>
              <w:jc w:val="center"/>
              <w:rPr>
                <w:rFonts w:ascii="宋体" w:hAnsi="宋体"/>
                <w:b/>
                <w:szCs w:val="21"/>
              </w:rPr>
            </w:pPr>
            <w:r>
              <w:rPr>
                <w:rFonts w:hint="eastAsia" w:ascii="宋体" w:hAnsi="宋体"/>
                <w:b/>
                <w:szCs w:val="21"/>
              </w:rPr>
              <w:t>5</w:t>
            </w:r>
          </w:p>
        </w:tc>
      </w:tr>
      <w:tr w14:paraId="2A91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05" w:type="dxa"/>
            <w:vAlign w:val="center"/>
          </w:tcPr>
          <w:p w14:paraId="5DDF4D02">
            <w:pPr>
              <w:widowControl/>
              <w:spacing w:line="360" w:lineRule="auto"/>
              <w:ind w:right="-24"/>
              <w:jc w:val="center"/>
              <w:rPr>
                <w:rFonts w:ascii="宋体" w:hAnsi="宋体"/>
                <w:b/>
                <w:szCs w:val="21"/>
              </w:rPr>
            </w:pPr>
            <w:r>
              <w:rPr>
                <w:rFonts w:hint="eastAsia" w:ascii="宋体" w:hAnsi="宋体"/>
                <w:b/>
                <w:szCs w:val="21"/>
              </w:rPr>
              <w:t>3</w:t>
            </w:r>
          </w:p>
        </w:tc>
        <w:tc>
          <w:tcPr>
            <w:tcW w:w="1245" w:type="dxa"/>
            <w:vAlign w:val="center"/>
          </w:tcPr>
          <w:p w14:paraId="5A9A32F9">
            <w:pPr>
              <w:spacing w:line="360" w:lineRule="auto"/>
              <w:jc w:val="center"/>
              <w:rPr>
                <w:rFonts w:ascii="宋体" w:hAnsi="宋体"/>
                <w:b/>
                <w:szCs w:val="21"/>
              </w:rPr>
            </w:pPr>
            <w:r>
              <w:rPr>
                <w:rFonts w:hint="eastAsia" w:ascii="宋体" w:hAnsi="宋体"/>
                <w:b/>
                <w:szCs w:val="21"/>
              </w:rPr>
              <w:t>同类业绩</w:t>
            </w:r>
          </w:p>
        </w:tc>
        <w:tc>
          <w:tcPr>
            <w:tcW w:w="6804" w:type="dxa"/>
            <w:vAlign w:val="center"/>
          </w:tcPr>
          <w:p w14:paraId="68A24DDA">
            <w:pPr>
              <w:widowControl/>
              <w:snapToGrid w:val="0"/>
              <w:spacing w:line="400" w:lineRule="exact"/>
              <w:rPr>
                <w:rFonts w:ascii="宋体" w:hAnsi="宋体"/>
                <w:szCs w:val="21"/>
              </w:rPr>
            </w:pPr>
            <w:r>
              <w:rPr>
                <w:rFonts w:hint="eastAsia" w:ascii="宋体" w:hAnsi="宋体"/>
                <w:szCs w:val="21"/>
              </w:rPr>
              <w:t>供应商近3年内（以合同签订时间为准）承担过事业单位、高校财务预算管理系统、网上报销、小额发放系统同类项目业绩，每提供1份完整合同及验收证明得3分，最高9分；合同无验收证明、项目内容不符不计分。</w:t>
            </w:r>
          </w:p>
        </w:tc>
        <w:tc>
          <w:tcPr>
            <w:tcW w:w="922" w:type="dxa"/>
            <w:vAlign w:val="center"/>
          </w:tcPr>
          <w:p w14:paraId="35918467">
            <w:pPr>
              <w:snapToGrid w:val="0"/>
              <w:spacing w:line="360" w:lineRule="auto"/>
              <w:jc w:val="center"/>
              <w:rPr>
                <w:rFonts w:ascii="宋体" w:hAnsi="宋体"/>
                <w:b/>
                <w:szCs w:val="21"/>
              </w:rPr>
            </w:pPr>
            <w:r>
              <w:rPr>
                <w:rFonts w:hint="eastAsia" w:ascii="宋体" w:hAnsi="宋体"/>
                <w:b/>
                <w:szCs w:val="21"/>
              </w:rPr>
              <w:t>9</w:t>
            </w:r>
          </w:p>
        </w:tc>
      </w:tr>
      <w:tr w14:paraId="0678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5" w:type="dxa"/>
            <w:vAlign w:val="center"/>
          </w:tcPr>
          <w:p w14:paraId="22354FA6">
            <w:pPr>
              <w:widowControl/>
              <w:spacing w:line="360" w:lineRule="auto"/>
              <w:ind w:right="-24"/>
              <w:jc w:val="center"/>
              <w:rPr>
                <w:rFonts w:ascii="宋体" w:hAnsi="宋体"/>
                <w:b/>
                <w:szCs w:val="21"/>
              </w:rPr>
            </w:pPr>
            <w:r>
              <w:rPr>
                <w:rFonts w:hint="eastAsia" w:ascii="宋体" w:hAnsi="宋体"/>
                <w:b/>
                <w:szCs w:val="21"/>
              </w:rPr>
              <w:t>3</w:t>
            </w:r>
          </w:p>
        </w:tc>
        <w:tc>
          <w:tcPr>
            <w:tcW w:w="1245" w:type="dxa"/>
            <w:vAlign w:val="center"/>
          </w:tcPr>
          <w:p w14:paraId="723D5B02">
            <w:pPr>
              <w:spacing w:line="360" w:lineRule="auto"/>
              <w:jc w:val="center"/>
              <w:rPr>
                <w:rFonts w:ascii="宋体" w:hAnsi="宋体"/>
                <w:b/>
                <w:szCs w:val="21"/>
              </w:rPr>
            </w:pPr>
            <w:bookmarkStart w:id="70" w:name="OLE_LINK68"/>
            <w:r>
              <w:rPr>
                <w:rFonts w:hint="eastAsia" w:ascii="宋体" w:hAnsi="宋体"/>
                <w:b/>
                <w:szCs w:val="21"/>
              </w:rPr>
              <w:t>售后服务与履约保障</w:t>
            </w:r>
            <w:bookmarkEnd w:id="70"/>
          </w:p>
        </w:tc>
        <w:tc>
          <w:tcPr>
            <w:tcW w:w="6804" w:type="dxa"/>
            <w:vAlign w:val="center"/>
          </w:tcPr>
          <w:p w14:paraId="1D7390D6">
            <w:pPr>
              <w:widowControl/>
              <w:snapToGrid w:val="0"/>
              <w:spacing w:line="400" w:lineRule="exact"/>
              <w:rPr>
                <w:rFonts w:ascii="宋体" w:hAnsi="宋体"/>
                <w:szCs w:val="21"/>
              </w:rPr>
            </w:pPr>
            <w:bookmarkStart w:id="71" w:name="OLE_LINK67"/>
            <w:r>
              <w:rPr>
                <w:rFonts w:hint="eastAsia" w:ascii="宋体" w:hAnsi="宋体"/>
                <w:szCs w:val="21"/>
              </w:rPr>
              <w:t>1.运维响应（2分）：</w:t>
            </w:r>
            <w:bookmarkStart w:id="72" w:name="OLE_LINK55"/>
            <w:r>
              <w:rPr>
                <w:rFonts w:hint="eastAsia" w:ascii="宋体" w:hAnsi="宋体"/>
                <w:szCs w:val="21"/>
              </w:rPr>
              <w:t>在服务期间，出现问题时，承诺7×24小时技术支持，要求30分钟内响应、2小时内到达现场、常规技术故障应在12小时内解决、重大故障紧急兜底方案</w:t>
            </w:r>
            <w:bookmarkEnd w:id="72"/>
            <w:r>
              <w:rPr>
                <w:rFonts w:hint="eastAsia" w:ascii="宋体" w:hAnsi="宋体"/>
                <w:szCs w:val="21"/>
              </w:rPr>
              <w:t>得2分；响应时效一般得1分；无明确运维承诺得0分；</w:t>
            </w:r>
          </w:p>
          <w:p w14:paraId="4AAE7662">
            <w:pPr>
              <w:widowControl/>
              <w:snapToGrid w:val="0"/>
              <w:spacing w:line="400" w:lineRule="exact"/>
              <w:rPr>
                <w:rFonts w:ascii="宋体" w:hAnsi="宋体"/>
                <w:szCs w:val="21"/>
              </w:rPr>
            </w:pPr>
            <w:r>
              <w:rPr>
                <w:rFonts w:hint="eastAsia" w:ascii="宋体" w:hAnsi="宋体"/>
                <w:szCs w:val="21"/>
              </w:rPr>
              <w:t>2.培训与售后保障（2分）：提供免费全员操作培训、管理员专项培训、定期系统巡检、售后台账服务得2分，否则不计分。</w:t>
            </w:r>
            <w:bookmarkEnd w:id="71"/>
          </w:p>
        </w:tc>
        <w:tc>
          <w:tcPr>
            <w:tcW w:w="922" w:type="dxa"/>
            <w:vAlign w:val="center"/>
          </w:tcPr>
          <w:p w14:paraId="22007441">
            <w:pPr>
              <w:snapToGrid w:val="0"/>
              <w:spacing w:line="360" w:lineRule="auto"/>
              <w:jc w:val="center"/>
              <w:rPr>
                <w:rFonts w:ascii="宋体" w:hAnsi="宋体"/>
                <w:b/>
                <w:szCs w:val="21"/>
              </w:rPr>
            </w:pPr>
            <w:r>
              <w:rPr>
                <w:rFonts w:hint="eastAsia" w:ascii="宋体" w:hAnsi="宋体"/>
                <w:b/>
                <w:szCs w:val="21"/>
              </w:rPr>
              <w:t>4</w:t>
            </w:r>
          </w:p>
        </w:tc>
      </w:tr>
      <w:tr w14:paraId="38DD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5" w:type="dxa"/>
            <w:vMerge w:val="restart"/>
            <w:vAlign w:val="center"/>
          </w:tcPr>
          <w:p w14:paraId="5FDBECE6">
            <w:pPr>
              <w:widowControl/>
              <w:spacing w:line="360" w:lineRule="auto"/>
              <w:ind w:right="-24"/>
              <w:jc w:val="center"/>
              <w:rPr>
                <w:rFonts w:ascii="宋体" w:hAnsi="宋体"/>
                <w:b/>
                <w:szCs w:val="21"/>
              </w:rPr>
            </w:pPr>
            <w:r>
              <w:rPr>
                <w:rFonts w:hint="eastAsia" w:ascii="宋体" w:hAnsi="宋体"/>
                <w:b/>
                <w:szCs w:val="21"/>
              </w:rPr>
              <w:t>4</w:t>
            </w:r>
          </w:p>
        </w:tc>
        <w:tc>
          <w:tcPr>
            <w:tcW w:w="1245" w:type="dxa"/>
            <w:vMerge w:val="restart"/>
            <w:vAlign w:val="center"/>
          </w:tcPr>
          <w:p w14:paraId="131C1B7C">
            <w:pPr>
              <w:spacing w:line="360" w:lineRule="auto"/>
              <w:jc w:val="center"/>
              <w:rPr>
                <w:rFonts w:ascii="宋体" w:hAnsi="宋体"/>
                <w:b/>
                <w:szCs w:val="21"/>
              </w:rPr>
            </w:pPr>
            <w:r>
              <w:rPr>
                <w:rFonts w:hint="eastAsia" w:ascii="宋体" w:hAnsi="宋体"/>
                <w:b/>
                <w:szCs w:val="21"/>
              </w:rPr>
              <w:t>技术方案</w:t>
            </w:r>
          </w:p>
        </w:tc>
        <w:tc>
          <w:tcPr>
            <w:tcW w:w="6804" w:type="dxa"/>
            <w:vAlign w:val="center"/>
          </w:tcPr>
          <w:p w14:paraId="3857150D">
            <w:pPr>
              <w:widowControl/>
              <w:snapToGrid w:val="0"/>
              <w:spacing w:line="400" w:lineRule="exact"/>
              <w:rPr>
                <w:rFonts w:ascii="宋体" w:hAnsi="宋体"/>
                <w:szCs w:val="21"/>
              </w:rPr>
            </w:pPr>
            <w:bookmarkStart w:id="73" w:name="OLE_LINK70"/>
            <w:bookmarkStart w:id="74" w:name="OLE_LINK69"/>
            <w:r>
              <w:rPr>
                <w:rFonts w:hint="eastAsia" w:ascii="宋体" w:hAnsi="宋体"/>
                <w:szCs w:val="21"/>
              </w:rPr>
              <w:t>1.</w:t>
            </w:r>
            <w:bookmarkStart w:id="75" w:name="OLE_LINK58"/>
            <w:r>
              <w:rPr>
                <w:rFonts w:hint="eastAsia" w:ascii="宋体" w:hAnsi="宋体"/>
                <w:szCs w:val="21"/>
              </w:rPr>
              <w:t>整体方案规划（6分）。</w:t>
            </w:r>
          </w:p>
          <w:p w14:paraId="7FCF659E">
            <w:pPr>
              <w:widowControl/>
              <w:snapToGrid w:val="0"/>
              <w:spacing w:line="400" w:lineRule="exact"/>
              <w:rPr>
                <w:rFonts w:ascii="宋体" w:hAnsi="宋体"/>
                <w:szCs w:val="21"/>
              </w:rPr>
            </w:pPr>
            <w:r>
              <w:rPr>
                <w:rFonts w:hint="eastAsia" w:ascii="宋体" w:hAnsi="宋体"/>
                <w:szCs w:val="21"/>
              </w:rPr>
              <w:t>整体方案贴合采购人财务精细化管理需求，三套系统一体化架构清晰，业务逻辑完整，可实现预算管控、小额发放、网上报销全流程闭环管理，整体规划科学、落地性极强得6分；整体方案基本贴合需求，系统架构合理，业务流程完整，一体化融合思路清晰，细节略有欠缺得3-5分；方案框架完整，但贴合度一般，系统融合规划模糊，业务流程存在瑕疵得1-2分；方案杂乱，不符合项目建设需求，无一体化建设思路不得分</w:t>
            </w:r>
            <w:bookmarkEnd w:id="73"/>
            <w:bookmarkEnd w:id="74"/>
            <w:r>
              <w:rPr>
                <w:rFonts w:hint="eastAsia" w:ascii="宋体" w:hAnsi="宋体"/>
                <w:szCs w:val="21"/>
              </w:rPr>
              <w:t>。</w:t>
            </w:r>
            <w:bookmarkEnd w:id="75"/>
          </w:p>
        </w:tc>
        <w:tc>
          <w:tcPr>
            <w:tcW w:w="922" w:type="dxa"/>
            <w:vAlign w:val="center"/>
          </w:tcPr>
          <w:p w14:paraId="527A4CB1">
            <w:pPr>
              <w:snapToGrid w:val="0"/>
              <w:spacing w:line="360" w:lineRule="auto"/>
              <w:jc w:val="center"/>
              <w:rPr>
                <w:rFonts w:ascii="宋体" w:hAnsi="宋体"/>
                <w:b/>
                <w:szCs w:val="21"/>
              </w:rPr>
            </w:pPr>
            <w:r>
              <w:rPr>
                <w:rFonts w:hint="eastAsia" w:ascii="宋体" w:hAnsi="宋体"/>
                <w:b/>
                <w:szCs w:val="21"/>
              </w:rPr>
              <w:t>6</w:t>
            </w:r>
          </w:p>
        </w:tc>
      </w:tr>
      <w:tr w14:paraId="4489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5" w:type="dxa"/>
            <w:vMerge w:val="continue"/>
            <w:vAlign w:val="center"/>
          </w:tcPr>
          <w:p w14:paraId="12E9A9EC">
            <w:pPr>
              <w:widowControl/>
              <w:spacing w:line="360" w:lineRule="auto"/>
              <w:ind w:right="-24"/>
              <w:jc w:val="center"/>
              <w:rPr>
                <w:rFonts w:ascii="宋体" w:hAnsi="宋体"/>
                <w:b/>
                <w:szCs w:val="21"/>
              </w:rPr>
            </w:pPr>
          </w:p>
        </w:tc>
        <w:tc>
          <w:tcPr>
            <w:tcW w:w="1245" w:type="dxa"/>
            <w:vMerge w:val="continue"/>
            <w:vAlign w:val="center"/>
          </w:tcPr>
          <w:p w14:paraId="29288426">
            <w:pPr>
              <w:spacing w:line="360" w:lineRule="auto"/>
              <w:jc w:val="center"/>
              <w:rPr>
                <w:rFonts w:ascii="宋体" w:hAnsi="宋体"/>
                <w:b/>
                <w:szCs w:val="21"/>
              </w:rPr>
            </w:pPr>
          </w:p>
        </w:tc>
        <w:tc>
          <w:tcPr>
            <w:tcW w:w="6804" w:type="dxa"/>
            <w:vAlign w:val="center"/>
          </w:tcPr>
          <w:p w14:paraId="50340016">
            <w:pPr>
              <w:widowControl/>
              <w:snapToGrid w:val="0"/>
              <w:spacing w:line="400" w:lineRule="exact"/>
              <w:rPr>
                <w:rFonts w:ascii="宋体" w:hAnsi="宋体"/>
                <w:szCs w:val="21"/>
              </w:rPr>
            </w:pPr>
            <w:bookmarkStart w:id="76" w:name="OLE_LINK71"/>
            <w:bookmarkStart w:id="77" w:name="_Hlk231395122"/>
            <w:r>
              <w:rPr>
                <w:rFonts w:hint="eastAsia" w:ascii="宋体" w:hAnsi="宋体"/>
                <w:szCs w:val="21"/>
              </w:rPr>
              <w:t>2.</w:t>
            </w:r>
            <w:bookmarkStart w:id="78" w:name="OLE_LINK59"/>
            <w:r>
              <w:rPr>
                <w:rFonts w:hint="eastAsia" w:ascii="宋体" w:hAnsi="宋体"/>
                <w:szCs w:val="21"/>
              </w:rPr>
              <w:t>预算管理系统（6分）</w:t>
            </w:r>
            <w:r>
              <w:rPr>
                <w:rFonts w:ascii="宋体" w:hAnsi="宋体"/>
                <w:szCs w:val="21"/>
              </w:rPr>
              <w:t xml:space="preserve"> </w:t>
            </w:r>
          </w:p>
          <w:p w14:paraId="65522AEF">
            <w:pPr>
              <w:widowControl/>
              <w:snapToGrid w:val="0"/>
              <w:spacing w:line="400" w:lineRule="exact"/>
              <w:rPr>
                <w:rFonts w:ascii="宋体" w:hAnsi="宋体"/>
                <w:szCs w:val="21"/>
              </w:rPr>
            </w:pPr>
            <w:r>
              <w:rPr>
                <w:rFonts w:hint="eastAsia" w:ascii="宋体" w:hAnsi="宋体"/>
                <w:szCs w:val="21"/>
              </w:rPr>
              <w:t>完整支持预算编制、预算审核、预算下达、预算执行监控、预算调剂、年终决算、预算数据分析、超支预警等全功能，适配行政/事业单位预算管理制度，功能全覆盖、精细化得6分；功能基本齐全，部分精细化功能缺失得3-5分；核心功能缺失得0-2分。</w:t>
            </w:r>
            <w:bookmarkEnd w:id="76"/>
            <w:bookmarkEnd w:id="77"/>
            <w:bookmarkEnd w:id="78"/>
          </w:p>
        </w:tc>
        <w:tc>
          <w:tcPr>
            <w:tcW w:w="922" w:type="dxa"/>
            <w:vAlign w:val="center"/>
          </w:tcPr>
          <w:p w14:paraId="1C46005F">
            <w:pPr>
              <w:snapToGrid w:val="0"/>
              <w:spacing w:line="360" w:lineRule="auto"/>
              <w:jc w:val="center"/>
              <w:rPr>
                <w:rFonts w:ascii="宋体" w:hAnsi="宋体"/>
                <w:b/>
                <w:szCs w:val="21"/>
              </w:rPr>
            </w:pPr>
            <w:r>
              <w:rPr>
                <w:rFonts w:hint="eastAsia" w:ascii="宋体" w:hAnsi="宋体"/>
                <w:b/>
                <w:szCs w:val="21"/>
              </w:rPr>
              <w:t>6</w:t>
            </w:r>
          </w:p>
        </w:tc>
      </w:tr>
      <w:tr w14:paraId="485C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5" w:type="dxa"/>
            <w:vMerge w:val="continue"/>
            <w:vAlign w:val="center"/>
          </w:tcPr>
          <w:p w14:paraId="57A1A998">
            <w:pPr>
              <w:widowControl/>
              <w:spacing w:line="360" w:lineRule="auto"/>
              <w:ind w:right="-24"/>
              <w:jc w:val="center"/>
              <w:rPr>
                <w:rFonts w:ascii="宋体" w:hAnsi="宋体"/>
                <w:b/>
                <w:szCs w:val="21"/>
              </w:rPr>
            </w:pPr>
          </w:p>
        </w:tc>
        <w:tc>
          <w:tcPr>
            <w:tcW w:w="1245" w:type="dxa"/>
            <w:vMerge w:val="continue"/>
            <w:vAlign w:val="center"/>
          </w:tcPr>
          <w:p w14:paraId="6FF4103F">
            <w:pPr>
              <w:spacing w:line="360" w:lineRule="auto"/>
              <w:jc w:val="center"/>
              <w:rPr>
                <w:rFonts w:ascii="宋体" w:hAnsi="宋体"/>
                <w:b/>
                <w:szCs w:val="21"/>
              </w:rPr>
            </w:pPr>
          </w:p>
        </w:tc>
        <w:tc>
          <w:tcPr>
            <w:tcW w:w="6804" w:type="dxa"/>
            <w:vAlign w:val="center"/>
          </w:tcPr>
          <w:p w14:paraId="161E2699">
            <w:pPr>
              <w:widowControl/>
              <w:snapToGrid w:val="0"/>
              <w:spacing w:line="400" w:lineRule="exact"/>
              <w:rPr>
                <w:rFonts w:ascii="宋体" w:hAnsi="宋体"/>
                <w:szCs w:val="21"/>
              </w:rPr>
            </w:pPr>
            <w:bookmarkStart w:id="79" w:name="OLE_LINK75"/>
            <w:bookmarkStart w:id="80" w:name="OLE_LINK72"/>
            <w:r>
              <w:rPr>
                <w:rFonts w:hint="eastAsia" w:ascii="宋体" w:hAnsi="宋体"/>
                <w:szCs w:val="21"/>
              </w:rPr>
              <w:t>3.</w:t>
            </w:r>
            <w:bookmarkStart w:id="81" w:name="OLE_LINK60"/>
            <w:r>
              <w:rPr>
                <w:rFonts w:hint="eastAsia" w:ascii="宋体" w:hAnsi="宋体"/>
                <w:szCs w:val="21"/>
              </w:rPr>
              <w:t>网上报销系统（6分）</w:t>
            </w:r>
            <w:r>
              <w:rPr>
                <w:rFonts w:ascii="宋体" w:hAnsi="宋体"/>
                <w:szCs w:val="21"/>
              </w:rPr>
              <w:t xml:space="preserve"> </w:t>
            </w:r>
          </w:p>
          <w:p w14:paraId="4A7FA2EE">
            <w:pPr>
              <w:widowControl/>
              <w:snapToGrid w:val="0"/>
              <w:spacing w:line="400" w:lineRule="exact"/>
              <w:rPr>
                <w:rFonts w:ascii="宋体" w:hAnsi="宋体"/>
                <w:szCs w:val="21"/>
              </w:rPr>
            </w:pPr>
            <w:r>
              <w:rPr>
                <w:rFonts w:hint="eastAsia" w:ascii="宋体" w:hAnsi="宋体"/>
                <w:szCs w:val="21"/>
              </w:rPr>
              <w:t>支持全员线上填报、多级流程自定义审批、票据智能识别验真、费用标准自动管控、报销智能校验、凭证自动生成、报销进度实时查询，适配公务差旅、办公、专项经费等各类报销场景，功能全覆盖得6分；基础功能齐全，智能功能缺失得3-5分；核心审批、管控功能缺失得0-2分</w:t>
            </w:r>
            <w:bookmarkEnd w:id="79"/>
            <w:bookmarkEnd w:id="80"/>
            <w:r>
              <w:rPr>
                <w:rFonts w:hint="eastAsia" w:ascii="宋体" w:hAnsi="宋体"/>
                <w:szCs w:val="21"/>
              </w:rPr>
              <w:t>。</w:t>
            </w:r>
            <w:bookmarkEnd w:id="81"/>
          </w:p>
        </w:tc>
        <w:tc>
          <w:tcPr>
            <w:tcW w:w="922" w:type="dxa"/>
            <w:vAlign w:val="center"/>
          </w:tcPr>
          <w:p w14:paraId="1D9A6D37">
            <w:pPr>
              <w:snapToGrid w:val="0"/>
              <w:spacing w:line="360" w:lineRule="auto"/>
              <w:jc w:val="center"/>
              <w:rPr>
                <w:rFonts w:ascii="宋体" w:hAnsi="宋体"/>
                <w:b/>
                <w:szCs w:val="21"/>
              </w:rPr>
            </w:pPr>
            <w:r>
              <w:rPr>
                <w:rFonts w:hint="eastAsia" w:ascii="宋体" w:hAnsi="宋体"/>
                <w:b/>
                <w:szCs w:val="21"/>
              </w:rPr>
              <w:t>6</w:t>
            </w:r>
          </w:p>
        </w:tc>
      </w:tr>
      <w:tr w14:paraId="4EC9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5" w:type="dxa"/>
            <w:vMerge w:val="continue"/>
            <w:vAlign w:val="center"/>
          </w:tcPr>
          <w:p w14:paraId="228E8CCA">
            <w:pPr>
              <w:widowControl/>
              <w:spacing w:line="360" w:lineRule="auto"/>
              <w:ind w:right="-24"/>
              <w:jc w:val="center"/>
              <w:rPr>
                <w:rFonts w:ascii="宋体" w:hAnsi="宋体"/>
                <w:b/>
                <w:szCs w:val="21"/>
              </w:rPr>
            </w:pPr>
          </w:p>
        </w:tc>
        <w:tc>
          <w:tcPr>
            <w:tcW w:w="1245" w:type="dxa"/>
            <w:vMerge w:val="continue"/>
            <w:vAlign w:val="center"/>
          </w:tcPr>
          <w:p w14:paraId="51BBDCBA">
            <w:pPr>
              <w:spacing w:line="360" w:lineRule="auto"/>
              <w:jc w:val="center"/>
              <w:rPr>
                <w:rFonts w:ascii="宋体" w:hAnsi="宋体"/>
                <w:b/>
                <w:szCs w:val="21"/>
              </w:rPr>
            </w:pPr>
          </w:p>
        </w:tc>
        <w:tc>
          <w:tcPr>
            <w:tcW w:w="6804" w:type="dxa"/>
            <w:vAlign w:val="center"/>
          </w:tcPr>
          <w:p w14:paraId="53F0EEDA">
            <w:pPr>
              <w:widowControl/>
              <w:snapToGrid w:val="0"/>
              <w:spacing w:line="400" w:lineRule="exact"/>
              <w:rPr>
                <w:rFonts w:ascii="宋体" w:hAnsi="宋体"/>
                <w:szCs w:val="21"/>
              </w:rPr>
            </w:pPr>
            <w:r>
              <w:rPr>
                <w:rFonts w:hint="eastAsia" w:ascii="宋体" w:hAnsi="宋体"/>
                <w:szCs w:val="21"/>
              </w:rPr>
              <w:t>4.</w:t>
            </w:r>
            <w:bookmarkStart w:id="82" w:name="OLE_LINK61"/>
            <w:r>
              <w:rPr>
                <w:rFonts w:hint="eastAsia" w:ascii="宋体" w:hAnsi="宋体"/>
                <w:szCs w:val="21"/>
              </w:rPr>
              <w:t>小额发放系统（6分）</w:t>
            </w:r>
            <w:r>
              <w:rPr>
                <w:rFonts w:ascii="宋体" w:hAnsi="宋体"/>
                <w:szCs w:val="21"/>
              </w:rPr>
              <w:t xml:space="preserve"> </w:t>
            </w:r>
          </w:p>
          <w:p w14:paraId="057A8822">
            <w:pPr>
              <w:widowControl/>
              <w:snapToGrid w:val="0"/>
              <w:spacing w:line="400" w:lineRule="exact"/>
              <w:rPr>
                <w:rFonts w:ascii="宋体" w:hAnsi="宋体"/>
                <w:szCs w:val="21"/>
              </w:rPr>
            </w:pPr>
            <w:r>
              <w:rPr>
                <w:rFonts w:hint="eastAsia" w:ascii="宋体" w:hAnsi="宋体"/>
                <w:szCs w:val="21"/>
              </w:rPr>
              <w:t>支持小额资金批量发放、个人账户校验、发放明细溯源、发放审核留痕、资金到账核对、小额台账自动统计，适配零余额账户、小额备用金、零星补贴发放场景，合规性、安全性、溯源性完善得6分；基础发放功能齐全，台账、溯源功能不完善得3-5分；核心发放、审核功能缺失得0-2分。</w:t>
            </w:r>
            <w:bookmarkEnd w:id="82"/>
          </w:p>
        </w:tc>
        <w:tc>
          <w:tcPr>
            <w:tcW w:w="922" w:type="dxa"/>
            <w:vAlign w:val="center"/>
          </w:tcPr>
          <w:p w14:paraId="48C52930">
            <w:pPr>
              <w:snapToGrid w:val="0"/>
              <w:spacing w:line="360" w:lineRule="auto"/>
              <w:jc w:val="center"/>
              <w:rPr>
                <w:rFonts w:ascii="宋体" w:hAnsi="宋体"/>
                <w:b/>
                <w:szCs w:val="21"/>
              </w:rPr>
            </w:pPr>
            <w:r>
              <w:rPr>
                <w:rFonts w:hint="eastAsia" w:ascii="宋体" w:hAnsi="宋体"/>
                <w:b/>
                <w:szCs w:val="21"/>
              </w:rPr>
              <w:t>6</w:t>
            </w:r>
          </w:p>
        </w:tc>
      </w:tr>
      <w:tr w14:paraId="6869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5" w:type="dxa"/>
            <w:vMerge w:val="continue"/>
            <w:vAlign w:val="center"/>
          </w:tcPr>
          <w:p w14:paraId="340B05DB">
            <w:pPr>
              <w:widowControl/>
              <w:spacing w:line="360" w:lineRule="auto"/>
              <w:ind w:right="-24"/>
              <w:jc w:val="center"/>
              <w:rPr>
                <w:rFonts w:ascii="宋体" w:hAnsi="宋体"/>
                <w:b/>
                <w:szCs w:val="21"/>
              </w:rPr>
            </w:pPr>
            <w:bookmarkStart w:id="83" w:name="_Hlk231395186"/>
          </w:p>
        </w:tc>
        <w:tc>
          <w:tcPr>
            <w:tcW w:w="1245" w:type="dxa"/>
            <w:vMerge w:val="continue"/>
            <w:vAlign w:val="center"/>
          </w:tcPr>
          <w:p w14:paraId="25EC61F3">
            <w:pPr>
              <w:spacing w:line="360" w:lineRule="auto"/>
              <w:jc w:val="center"/>
              <w:rPr>
                <w:rFonts w:ascii="宋体" w:hAnsi="宋体"/>
                <w:b/>
                <w:szCs w:val="21"/>
              </w:rPr>
            </w:pPr>
          </w:p>
        </w:tc>
        <w:tc>
          <w:tcPr>
            <w:tcW w:w="6804" w:type="dxa"/>
            <w:vAlign w:val="center"/>
          </w:tcPr>
          <w:p w14:paraId="7A8A699F">
            <w:pPr>
              <w:widowControl/>
              <w:snapToGrid w:val="0"/>
              <w:spacing w:line="400" w:lineRule="exact"/>
              <w:rPr>
                <w:rFonts w:ascii="宋体" w:hAnsi="宋体"/>
                <w:szCs w:val="21"/>
              </w:rPr>
            </w:pPr>
            <w:r>
              <w:rPr>
                <w:rFonts w:hint="eastAsia" w:ascii="宋体" w:hAnsi="宋体"/>
                <w:szCs w:val="21"/>
              </w:rPr>
              <w:t>5.</w:t>
            </w:r>
            <w:bookmarkStart w:id="84" w:name="OLE_LINK73"/>
            <w:r>
              <w:rPr>
                <w:rFonts w:hint="eastAsia" w:ascii="宋体" w:hAnsi="宋体"/>
                <w:szCs w:val="21"/>
              </w:rPr>
              <w:t>系统数据互通与对接能力（6分）</w:t>
            </w:r>
            <w:r>
              <w:rPr>
                <w:rFonts w:ascii="宋体" w:hAnsi="宋体"/>
                <w:szCs w:val="21"/>
              </w:rPr>
              <w:t xml:space="preserve"> </w:t>
            </w:r>
          </w:p>
          <w:p w14:paraId="735B838E">
            <w:pPr>
              <w:widowControl/>
              <w:snapToGrid w:val="0"/>
              <w:spacing w:line="400" w:lineRule="exact"/>
              <w:rPr>
                <w:rFonts w:ascii="宋体" w:hAnsi="宋体"/>
                <w:szCs w:val="21"/>
              </w:rPr>
            </w:pPr>
            <w:r>
              <w:rPr>
                <w:rFonts w:hint="eastAsia" w:ascii="宋体" w:hAnsi="宋体"/>
                <w:szCs w:val="21"/>
              </w:rPr>
              <w:t>可实现三套系统数据实时互通、数据同步无延迟，支持与采购人现有财务核算系统、缴费系统、OA系统等无缝对接，提供标准化接口方案、数据迁移方案、数据安全同步机制得6分；支持三套系统内部互通，可对接主流财务系统，接口方案完整，无明显缺陷得4-5分；系统互通功能有限，对接方案简单，适配性不足得1-3分；无数据互通、系统对接方案，三套系统独立运行无法联动不得分。</w:t>
            </w:r>
            <w:bookmarkEnd w:id="84"/>
          </w:p>
        </w:tc>
        <w:tc>
          <w:tcPr>
            <w:tcW w:w="922" w:type="dxa"/>
            <w:vAlign w:val="center"/>
          </w:tcPr>
          <w:p w14:paraId="18D2C205">
            <w:pPr>
              <w:snapToGrid w:val="0"/>
              <w:spacing w:line="360" w:lineRule="auto"/>
              <w:jc w:val="center"/>
              <w:rPr>
                <w:rFonts w:ascii="宋体" w:hAnsi="宋体"/>
                <w:b/>
                <w:szCs w:val="21"/>
              </w:rPr>
            </w:pPr>
            <w:r>
              <w:rPr>
                <w:rFonts w:hint="eastAsia" w:ascii="宋体" w:hAnsi="宋体"/>
                <w:b/>
                <w:szCs w:val="21"/>
              </w:rPr>
              <w:t>6</w:t>
            </w:r>
          </w:p>
        </w:tc>
      </w:tr>
      <w:bookmarkEnd w:id="83"/>
      <w:tr w14:paraId="0D84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5" w:type="dxa"/>
            <w:vMerge w:val="continue"/>
            <w:vAlign w:val="center"/>
          </w:tcPr>
          <w:p w14:paraId="25C69A3D">
            <w:pPr>
              <w:widowControl/>
              <w:spacing w:line="360" w:lineRule="auto"/>
              <w:ind w:right="-24"/>
              <w:jc w:val="center"/>
              <w:rPr>
                <w:rFonts w:ascii="宋体" w:hAnsi="宋体"/>
                <w:b/>
                <w:szCs w:val="21"/>
              </w:rPr>
            </w:pPr>
            <w:bookmarkStart w:id="85" w:name="_Hlk231395200"/>
          </w:p>
        </w:tc>
        <w:tc>
          <w:tcPr>
            <w:tcW w:w="1245" w:type="dxa"/>
            <w:vMerge w:val="continue"/>
            <w:vAlign w:val="center"/>
          </w:tcPr>
          <w:p w14:paraId="4F17E549">
            <w:pPr>
              <w:spacing w:line="360" w:lineRule="auto"/>
              <w:jc w:val="center"/>
              <w:rPr>
                <w:rFonts w:ascii="宋体" w:hAnsi="宋体"/>
                <w:b/>
                <w:szCs w:val="21"/>
              </w:rPr>
            </w:pPr>
          </w:p>
        </w:tc>
        <w:tc>
          <w:tcPr>
            <w:tcW w:w="6804" w:type="dxa"/>
            <w:vAlign w:val="center"/>
          </w:tcPr>
          <w:p w14:paraId="70343D01">
            <w:pPr>
              <w:widowControl/>
              <w:snapToGrid w:val="0"/>
              <w:spacing w:line="400" w:lineRule="exact"/>
              <w:rPr>
                <w:rFonts w:ascii="宋体" w:hAnsi="宋体"/>
                <w:szCs w:val="21"/>
              </w:rPr>
            </w:pPr>
            <w:r>
              <w:rPr>
                <w:rFonts w:hint="eastAsia" w:ascii="宋体" w:hAnsi="宋体"/>
                <w:szCs w:val="21"/>
              </w:rPr>
              <w:t>6.技术架构与性能安全（6分）</w:t>
            </w:r>
          </w:p>
          <w:p w14:paraId="62C3F42A">
            <w:pPr>
              <w:widowControl/>
              <w:snapToGrid w:val="0"/>
              <w:spacing w:line="400" w:lineRule="exact"/>
              <w:rPr>
                <w:rFonts w:ascii="宋体" w:hAnsi="宋体"/>
                <w:szCs w:val="21"/>
              </w:rPr>
            </w:pPr>
            <w:r>
              <w:rPr>
                <w:rFonts w:hint="eastAsia" w:ascii="宋体" w:hAnsi="宋体"/>
                <w:szCs w:val="21"/>
              </w:rPr>
              <w:t>基于主流稳定架构开发，支持云端部署/本地化部署双模式，系统响应速度快、并发能力强，具备数据加密、权限分级、操作日志全程留痕、防篡改、数据备份与恢复、网络安全防护等机制，完全符合政务信息系统安全规范得6分；架构稳定、安全机制基本齐全得3-5分；架构老旧、安全防护不完善得1-2分；存在重大安全漏洞风险不得分。</w:t>
            </w:r>
          </w:p>
        </w:tc>
        <w:tc>
          <w:tcPr>
            <w:tcW w:w="922" w:type="dxa"/>
            <w:vAlign w:val="center"/>
          </w:tcPr>
          <w:p w14:paraId="127AD683">
            <w:pPr>
              <w:snapToGrid w:val="0"/>
              <w:spacing w:line="360" w:lineRule="auto"/>
              <w:jc w:val="center"/>
              <w:rPr>
                <w:rFonts w:ascii="宋体" w:hAnsi="宋体"/>
                <w:b/>
                <w:szCs w:val="21"/>
              </w:rPr>
            </w:pPr>
            <w:r>
              <w:rPr>
                <w:rFonts w:hint="eastAsia" w:ascii="宋体" w:hAnsi="宋体"/>
                <w:b/>
                <w:szCs w:val="21"/>
              </w:rPr>
              <w:t>6</w:t>
            </w:r>
          </w:p>
        </w:tc>
      </w:tr>
      <w:bookmarkEnd w:id="85"/>
      <w:tr w14:paraId="1891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5" w:type="dxa"/>
            <w:vMerge w:val="continue"/>
            <w:vAlign w:val="center"/>
          </w:tcPr>
          <w:p w14:paraId="42FAA555">
            <w:pPr>
              <w:widowControl/>
              <w:spacing w:line="360" w:lineRule="auto"/>
              <w:ind w:right="-24"/>
              <w:jc w:val="center"/>
              <w:rPr>
                <w:rFonts w:ascii="宋体" w:hAnsi="宋体"/>
                <w:b/>
                <w:szCs w:val="21"/>
              </w:rPr>
            </w:pPr>
          </w:p>
        </w:tc>
        <w:tc>
          <w:tcPr>
            <w:tcW w:w="1245" w:type="dxa"/>
            <w:vMerge w:val="continue"/>
            <w:vAlign w:val="center"/>
          </w:tcPr>
          <w:p w14:paraId="24A58193">
            <w:pPr>
              <w:spacing w:line="360" w:lineRule="auto"/>
              <w:jc w:val="center"/>
              <w:rPr>
                <w:rFonts w:ascii="宋体" w:hAnsi="宋体"/>
                <w:b/>
                <w:szCs w:val="21"/>
              </w:rPr>
            </w:pPr>
          </w:p>
        </w:tc>
        <w:tc>
          <w:tcPr>
            <w:tcW w:w="6804" w:type="dxa"/>
            <w:vAlign w:val="center"/>
          </w:tcPr>
          <w:p w14:paraId="6BDA885A">
            <w:pPr>
              <w:widowControl/>
              <w:snapToGrid w:val="0"/>
              <w:spacing w:line="400" w:lineRule="exact"/>
              <w:rPr>
                <w:rFonts w:ascii="宋体" w:hAnsi="宋体"/>
                <w:szCs w:val="21"/>
              </w:rPr>
            </w:pPr>
            <w:bookmarkStart w:id="86" w:name="OLE_LINK80"/>
            <w:r>
              <w:rPr>
                <w:rFonts w:hint="eastAsia" w:ascii="宋体" w:hAnsi="宋体"/>
                <w:szCs w:val="21"/>
              </w:rPr>
              <w:t>7.</w:t>
            </w:r>
            <w:bookmarkStart w:id="87" w:name="OLE_LINK74"/>
            <w:r>
              <w:rPr>
                <w:rFonts w:hint="eastAsia" w:ascii="宋体" w:hAnsi="宋体"/>
                <w:szCs w:val="21"/>
              </w:rPr>
              <w:t>实施与上线方案（6分）</w:t>
            </w:r>
            <w:r>
              <w:rPr>
                <w:rFonts w:ascii="宋体" w:hAnsi="宋体"/>
                <w:szCs w:val="21"/>
              </w:rPr>
              <w:t xml:space="preserve"> </w:t>
            </w:r>
          </w:p>
          <w:p w14:paraId="58B9094F">
            <w:pPr>
              <w:widowControl/>
              <w:snapToGrid w:val="0"/>
              <w:spacing w:line="400" w:lineRule="exact"/>
              <w:rPr>
                <w:rFonts w:ascii="宋体" w:hAnsi="宋体"/>
                <w:szCs w:val="21"/>
              </w:rPr>
            </w:pPr>
            <w:r>
              <w:rPr>
                <w:rFonts w:hint="eastAsia" w:ascii="宋体" w:hAnsi="宋体"/>
                <w:szCs w:val="21"/>
              </w:rPr>
              <w:t>包含详细的项目实施计划、人员配置、进度管控、测试方案、试运行方案、上线切换方案、培训方案，工期合理、流程规范、可落地性强得6分；方案完整、细节简略得3-5分；方案简单、无细化管控措施得1-2分；无实施方案不得分。</w:t>
            </w:r>
            <w:bookmarkEnd w:id="86"/>
            <w:bookmarkEnd w:id="87"/>
          </w:p>
        </w:tc>
        <w:tc>
          <w:tcPr>
            <w:tcW w:w="922" w:type="dxa"/>
            <w:vAlign w:val="center"/>
          </w:tcPr>
          <w:p w14:paraId="4DA6F1A4">
            <w:pPr>
              <w:snapToGrid w:val="0"/>
              <w:spacing w:line="360" w:lineRule="auto"/>
              <w:jc w:val="center"/>
              <w:rPr>
                <w:rFonts w:ascii="宋体" w:hAnsi="宋体"/>
                <w:b/>
                <w:szCs w:val="21"/>
              </w:rPr>
            </w:pPr>
            <w:r>
              <w:rPr>
                <w:rFonts w:hint="eastAsia" w:ascii="宋体" w:hAnsi="宋体"/>
                <w:b/>
                <w:szCs w:val="21"/>
              </w:rPr>
              <w:t>6</w:t>
            </w:r>
          </w:p>
        </w:tc>
      </w:tr>
      <w:tr w14:paraId="711E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5" w:type="dxa"/>
            <w:vAlign w:val="center"/>
          </w:tcPr>
          <w:p w14:paraId="0EDAB5EA">
            <w:pPr>
              <w:widowControl/>
              <w:spacing w:line="360" w:lineRule="auto"/>
              <w:ind w:right="-24"/>
              <w:jc w:val="center"/>
              <w:rPr>
                <w:rFonts w:ascii="宋体" w:hAnsi="宋体"/>
                <w:b/>
                <w:szCs w:val="21"/>
              </w:rPr>
            </w:pPr>
          </w:p>
        </w:tc>
        <w:tc>
          <w:tcPr>
            <w:tcW w:w="1245" w:type="dxa"/>
            <w:vAlign w:val="center"/>
          </w:tcPr>
          <w:p w14:paraId="77818CC0">
            <w:pPr>
              <w:spacing w:line="360" w:lineRule="auto"/>
              <w:jc w:val="center"/>
              <w:rPr>
                <w:rFonts w:ascii="宋体" w:hAnsi="宋体"/>
                <w:b/>
                <w:szCs w:val="21"/>
              </w:rPr>
            </w:pPr>
          </w:p>
        </w:tc>
        <w:tc>
          <w:tcPr>
            <w:tcW w:w="6804" w:type="dxa"/>
            <w:vAlign w:val="center"/>
          </w:tcPr>
          <w:p w14:paraId="40018B2D">
            <w:pPr>
              <w:widowControl/>
              <w:snapToGrid w:val="0"/>
              <w:spacing w:line="360" w:lineRule="auto"/>
              <w:rPr>
                <w:rFonts w:ascii="宋体" w:hAnsi="宋体"/>
                <w:szCs w:val="21"/>
              </w:rPr>
            </w:pPr>
          </w:p>
        </w:tc>
        <w:tc>
          <w:tcPr>
            <w:tcW w:w="922" w:type="dxa"/>
            <w:vAlign w:val="center"/>
          </w:tcPr>
          <w:p w14:paraId="164506B5">
            <w:pPr>
              <w:snapToGrid w:val="0"/>
              <w:spacing w:line="360" w:lineRule="auto"/>
              <w:jc w:val="center"/>
              <w:rPr>
                <w:rFonts w:ascii="宋体" w:hAnsi="宋体"/>
                <w:b/>
                <w:szCs w:val="21"/>
              </w:rPr>
            </w:pPr>
            <w:r>
              <w:rPr>
                <w:rFonts w:hint="eastAsia" w:ascii="宋体" w:hAnsi="宋体"/>
                <w:b/>
                <w:szCs w:val="21"/>
              </w:rPr>
              <w:t>100</w:t>
            </w:r>
          </w:p>
        </w:tc>
      </w:tr>
    </w:tbl>
    <w:p w14:paraId="4C7F319D">
      <w:pPr>
        <w:spacing w:line="360" w:lineRule="auto"/>
        <w:ind w:firstLine="482" w:firstLineChars="200"/>
        <w:jc w:val="left"/>
        <w:outlineLvl w:val="1"/>
        <w:rPr>
          <w:rFonts w:ascii="宋体" w:hAnsi="宋体"/>
          <w:b/>
          <w:bCs/>
          <w:sz w:val="24"/>
          <w:szCs w:val="24"/>
        </w:rPr>
      </w:pPr>
      <w:r>
        <w:rPr>
          <w:rFonts w:hint="eastAsia" w:ascii="宋体" w:hAnsi="宋体"/>
          <w:b/>
          <w:bCs/>
          <w:sz w:val="24"/>
          <w:szCs w:val="24"/>
        </w:rPr>
        <w:t>3. 评标方法与定标原则</w:t>
      </w:r>
    </w:p>
    <w:p w14:paraId="469F4301">
      <w:pPr>
        <w:spacing w:line="360" w:lineRule="auto"/>
        <w:ind w:firstLine="480" w:firstLineChars="200"/>
        <w:rPr>
          <w:rFonts w:ascii="宋体" w:hAnsi="宋体" w:cs="宋体"/>
          <w:sz w:val="24"/>
          <w:szCs w:val="24"/>
        </w:rPr>
      </w:pPr>
      <w:r>
        <w:rPr>
          <w:rFonts w:hint="eastAsia" w:ascii="宋体" w:hAnsi="宋体" w:cs="宋体"/>
          <w:sz w:val="24"/>
          <w:szCs w:val="24"/>
        </w:rPr>
        <w:t>磋商小组将对确定为实质性响应采购文件要求的响应文件进行评价和比较，评标采用综合评分法。采用综合评分法的，评标结果按评审后得分由高到低顺序排列。得分相同的，按投标报价由低到高顺序排列。得分且报价相同的，按技术指标优劣顺序排列。技术分也相同时，由招标人确定。投标文件满足招标文件全部实质性要求，且评审得分最高的投标人为排名第一的成交候选人、得分次高的投标人为第二成交候选人，以此类推。</w:t>
      </w:r>
    </w:p>
    <w:p w14:paraId="66DA5793">
      <w:pPr>
        <w:spacing w:line="360" w:lineRule="auto"/>
        <w:ind w:firstLine="482" w:firstLineChars="200"/>
        <w:rPr>
          <w:rFonts w:ascii="宋体" w:cs="宋体"/>
          <w:sz w:val="24"/>
          <w:szCs w:val="24"/>
        </w:rPr>
      </w:pPr>
      <w:r>
        <w:rPr>
          <w:rFonts w:hint="eastAsia" w:ascii="宋体" w:hAnsi="宋体" w:cs="宋体"/>
          <w:b/>
          <w:sz w:val="24"/>
          <w:szCs w:val="24"/>
          <w:u w:val="single"/>
        </w:rPr>
        <w:t>最终由磋商小组推荐3名成交候选人，本项目由招标人在磋商小组推荐的前三名成交候选人中自主确定中标人，中标人在评标委员会推荐的前三名成交候选人之中即可。</w:t>
      </w:r>
    </w:p>
    <w:p w14:paraId="615E96EA">
      <w:pPr>
        <w:spacing w:line="336" w:lineRule="auto"/>
        <w:jc w:val="left"/>
        <w:rPr>
          <w:rFonts w:ascii="宋体" w:hAnsi="宋体"/>
          <w:b/>
          <w:bCs/>
          <w:sz w:val="24"/>
          <w:szCs w:val="24"/>
        </w:rPr>
      </w:pPr>
      <w:r>
        <w:rPr>
          <w:rFonts w:hint="eastAsia" w:ascii="宋体" w:hAnsi="宋体"/>
          <w:b/>
          <w:bCs/>
          <w:sz w:val="24"/>
          <w:szCs w:val="24"/>
        </w:rPr>
        <w:t>说明：</w:t>
      </w:r>
    </w:p>
    <w:p w14:paraId="04D07A29">
      <w:pPr>
        <w:spacing w:line="336" w:lineRule="auto"/>
        <w:jc w:val="left"/>
        <w:rPr>
          <w:rFonts w:ascii="宋体" w:hAnsi="宋体"/>
          <w:sz w:val="24"/>
          <w:szCs w:val="24"/>
        </w:rPr>
      </w:pPr>
      <w:r>
        <w:rPr>
          <w:rFonts w:hint="eastAsia" w:ascii="宋体" w:hAnsi="宋体"/>
          <w:sz w:val="24"/>
          <w:szCs w:val="24"/>
        </w:rPr>
        <w:t>1、评标委员会成员根据上述评审因素进行打分，并记录在评分表中。最后，根据各投标人的总分进行排名，由高至低推荐三名中标候选人。</w:t>
      </w:r>
    </w:p>
    <w:p w14:paraId="4CEB20A1">
      <w:pPr>
        <w:spacing w:line="336" w:lineRule="auto"/>
        <w:jc w:val="left"/>
        <w:rPr>
          <w:rFonts w:ascii="宋体" w:hAnsi="宋体"/>
          <w:sz w:val="24"/>
          <w:szCs w:val="24"/>
        </w:rPr>
      </w:pPr>
      <w:r>
        <w:rPr>
          <w:rFonts w:hint="eastAsia" w:ascii="宋体" w:hAnsi="宋体"/>
          <w:sz w:val="24"/>
          <w:szCs w:val="24"/>
        </w:rPr>
        <w:t>2、投标单位所提供的所有投标材料必须真实可靠。如发现投标单位弄虚作假，则取消其本项目的中标资格，并向相关主管部门汇报。</w:t>
      </w:r>
    </w:p>
    <w:p w14:paraId="734FA0FE">
      <w:pPr>
        <w:spacing w:line="360" w:lineRule="auto"/>
        <w:jc w:val="left"/>
        <w:rPr>
          <w:rFonts w:ascii="宋体" w:hAnsi="宋体"/>
          <w:sz w:val="24"/>
          <w:szCs w:val="24"/>
        </w:rPr>
      </w:pPr>
      <w:r>
        <w:rPr>
          <w:rFonts w:hint="eastAsia" w:ascii="宋体" w:hAnsi="宋体"/>
          <w:sz w:val="24"/>
          <w:szCs w:val="24"/>
        </w:rPr>
        <w:t>3、本项目评标坚持“公平、公正、科学、择优”的原则，评标委员会对各投标企业的投标报价、项目负责人、施工组织方案等分别进行打分，其中投标报价、项目组成员、类似业绩的打分由评标委员会统一核定得分。施工组织设计由各评委独立评分。计分时，取所有评委评分的平均值为某个投标企业的最终得分（保留2位小数）。</w:t>
      </w:r>
    </w:p>
    <w:p w14:paraId="50E02EAD">
      <w:pPr>
        <w:spacing w:line="360" w:lineRule="auto"/>
        <w:jc w:val="left"/>
        <w:rPr>
          <w:rFonts w:ascii="宋体" w:hAnsi="宋体"/>
          <w:sz w:val="24"/>
          <w:szCs w:val="24"/>
        </w:rPr>
      </w:pPr>
      <w:r>
        <w:rPr>
          <w:rFonts w:hint="eastAsia" w:ascii="宋体" w:hAnsi="宋体"/>
          <w:sz w:val="24"/>
          <w:szCs w:val="24"/>
        </w:rPr>
        <w:t>4、本项目如有综合得分相同的，以投标报价低者优先；若投标报价仍相同，以技术方案得分高者优先；技术方案得分仍相同的，由招标人自主确定优先顺序。</w:t>
      </w:r>
    </w:p>
    <w:p w14:paraId="436B8D2C">
      <w:pPr>
        <w:spacing w:line="320" w:lineRule="exact"/>
        <w:rPr>
          <w:rFonts w:ascii="宋体"/>
          <w:b/>
          <w:bCs/>
          <w:sz w:val="24"/>
          <w:szCs w:val="24"/>
        </w:rPr>
      </w:pPr>
      <w:r>
        <w:rPr>
          <w:rFonts w:hint="eastAsia" w:ascii="宋体" w:hAnsi="宋体"/>
          <w:sz w:val="24"/>
          <w:szCs w:val="24"/>
        </w:rPr>
        <w:t>5、</w:t>
      </w:r>
      <w:r>
        <w:rPr>
          <w:rFonts w:hint="eastAsia" w:ascii="宋体" w:hAnsi="宋体"/>
          <w:b/>
          <w:sz w:val="24"/>
          <w:szCs w:val="24"/>
        </w:rPr>
        <w:t>本项目由招标人在评标委员会推荐的前三名中标候选人中</w:t>
      </w:r>
      <w:r>
        <w:rPr>
          <w:rFonts w:hint="eastAsia" w:ascii="宋体" w:hAnsi="宋体"/>
          <w:b/>
          <w:bCs/>
          <w:sz w:val="24"/>
          <w:szCs w:val="24"/>
        </w:rPr>
        <w:t>自主确定</w:t>
      </w:r>
      <w:r>
        <w:rPr>
          <w:rFonts w:hint="eastAsia" w:ascii="宋体" w:hAnsi="宋体"/>
          <w:b/>
          <w:sz w:val="24"/>
          <w:szCs w:val="24"/>
        </w:rPr>
        <w:t>中标人。</w:t>
      </w:r>
    </w:p>
    <w:p w14:paraId="1013A129">
      <w:pPr>
        <w:keepNext/>
        <w:keepLines/>
        <w:pageBreakBefore/>
        <w:tabs>
          <w:tab w:val="left" w:pos="612"/>
          <w:tab w:val="center" w:pos="4535"/>
        </w:tabs>
        <w:adjustRightInd w:val="0"/>
        <w:snapToGrid w:val="0"/>
        <w:spacing w:before="340" w:after="330"/>
        <w:jc w:val="center"/>
        <w:outlineLvl w:val="0"/>
        <w:rPr>
          <w:rFonts w:ascii="宋体" w:hAnsi="宋体" w:cs="宋体"/>
          <w:b/>
          <w:bCs/>
          <w:kern w:val="0"/>
          <w:sz w:val="36"/>
          <w:szCs w:val="36"/>
        </w:rPr>
      </w:pPr>
      <w:bookmarkStart w:id="88" w:name="_Toc48546591"/>
      <w:bookmarkStart w:id="89" w:name="_Toc65592703"/>
      <w:bookmarkStart w:id="90" w:name="_Toc179553570"/>
      <w:bookmarkStart w:id="91" w:name="_Toc155798105"/>
      <w:bookmarkStart w:id="92" w:name="_Toc115787260"/>
      <w:r>
        <w:rPr>
          <w:rFonts w:hint="eastAsia" w:ascii="宋体" w:hAnsi="宋体" w:cs="宋体"/>
          <w:b/>
          <w:bCs/>
          <w:kern w:val="0"/>
          <w:sz w:val="36"/>
          <w:szCs w:val="36"/>
        </w:rPr>
        <w:t xml:space="preserve">第四章 </w:t>
      </w:r>
      <w:bookmarkEnd w:id="88"/>
      <w:bookmarkEnd w:id="89"/>
      <w:bookmarkEnd w:id="90"/>
      <w:r>
        <w:rPr>
          <w:rFonts w:hint="eastAsia" w:ascii="宋体" w:hAnsi="宋体" w:cs="宋体"/>
          <w:b/>
          <w:bCs/>
          <w:kern w:val="0"/>
          <w:sz w:val="36"/>
          <w:szCs w:val="36"/>
        </w:rPr>
        <w:t>项目需求</w:t>
      </w:r>
    </w:p>
    <w:p w14:paraId="3D6D7D22">
      <w:pPr>
        <w:spacing w:line="360" w:lineRule="auto"/>
        <w:ind w:firstLine="566" w:firstLineChars="236"/>
        <w:jc w:val="left"/>
        <w:rPr>
          <w:rFonts w:ascii="宋体" w:hAnsi="宋体"/>
          <w:sz w:val="24"/>
          <w:szCs w:val="24"/>
        </w:rPr>
      </w:pPr>
      <w:r>
        <w:rPr>
          <w:rFonts w:hint="eastAsia" w:ascii="宋体" w:hAnsi="宋体"/>
          <w:sz w:val="24"/>
          <w:szCs w:val="24"/>
        </w:rPr>
        <w:t>根据民办高校财务管理实际需求，本采购项目核心功能分为“建设总目标”、“预算管理系统核心功能”、“网上报销系统核心功能”、“小额发放系统”“系统集成与对接要求”、“技术架构与安全要求”、“售后服务与质保要求”以及“民办高校特殊功能需求”等模块。</w:t>
      </w:r>
    </w:p>
    <w:p w14:paraId="5E146E34">
      <w:pPr>
        <w:spacing w:line="360" w:lineRule="auto"/>
        <w:ind w:firstLine="566" w:firstLineChars="236"/>
        <w:jc w:val="left"/>
        <w:rPr>
          <w:rFonts w:ascii="宋体" w:hAnsi="宋体"/>
          <w:sz w:val="24"/>
          <w:szCs w:val="24"/>
        </w:rPr>
      </w:pPr>
      <w:r>
        <w:rPr>
          <w:rFonts w:hint="eastAsia" w:ascii="宋体" w:hAnsi="宋体"/>
          <w:sz w:val="24"/>
          <w:szCs w:val="24"/>
        </w:rPr>
        <w:t>特别提醒：本项目需求仅为已知的一般性描述，在项目实施过程中，招标方有权根据实际情况提出增加系统的其他同类产品已有且能够实现的需求或对已有需求进行调整，且不对合同价格进行调整。</w:t>
      </w:r>
    </w:p>
    <w:p w14:paraId="50D4B51B">
      <w:pPr>
        <w:spacing w:line="360" w:lineRule="auto"/>
        <w:ind w:firstLine="566" w:firstLineChars="236"/>
        <w:jc w:val="left"/>
        <w:rPr>
          <w:rFonts w:ascii="宋体" w:hAnsi="宋体"/>
          <w:sz w:val="24"/>
          <w:szCs w:val="24"/>
        </w:rPr>
      </w:pPr>
      <w:r>
        <w:rPr>
          <w:rFonts w:hint="eastAsia" w:ascii="宋体" w:hAnsi="宋体"/>
          <w:sz w:val="24"/>
          <w:szCs w:val="24"/>
        </w:rPr>
        <w:t>一、建设总目标</w:t>
      </w:r>
    </w:p>
    <w:p w14:paraId="0B349C16">
      <w:pPr>
        <w:spacing w:line="360" w:lineRule="auto"/>
        <w:ind w:firstLine="566" w:firstLineChars="236"/>
        <w:jc w:val="left"/>
        <w:rPr>
          <w:rFonts w:ascii="宋体" w:hAnsi="宋体"/>
          <w:sz w:val="24"/>
          <w:szCs w:val="24"/>
        </w:rPr>
      </w:pPr>
      <w:r>
        <w:rPr>
          <w:rFonts w:hint="eastAsia" w:ascii="宋体" w:hAnsi="宋体"/>
          <w:sz w:val="24"/>
          <w:szCs w:val="24"/>
        </w:rPr>
        <w:t>通过建设一套以预算管理为源头、资金管控为主线、业务流程为驱动、内部控制为重点的智慧财务一体化管理平台，实现预算编制规范化、预算执行可控化、网上报销便捷化、财务服务智能化的目标。系统建设完成后，应实现以下核心效果：预算编制与执行在线化率达到100%，报销审批平均周期缩减50%以上；预算执行数据与财务核算数据自动同步，避免重复录入；报销申请与预算余额实时联动，超预算自动拦截；智能稽核规则自动校验发票合规性和经费标准，降低财务审核工作量；系统生成预算执行分析、部门经费统计、收入支出对比等多维度报表，为学院管理层提供决策支持-。通过平台与现有财务核算系统的数据对接，实现预算管理与财务核算的深度融合，有力支撑学院管理决策。</w:t>
      </w:r>
    </w:p>
    <w:p w14:paraId="7C54B235">
      <w:pPr>
        <w:spacing w:line="360" w:lineRule="auto"/>
        <w:ind w:firstLine="566" w:firstLineChars="236"/>
        <w:jc w:val="left"/>
        <w:rPr>
          <w:rFonts w:ascii="宋体" w:hAnsi="宋体"/>
          <w:sz w:val="24"/>
          <w:szCs w:val="24"/>
        </w:rPr>
      </w:pPr>
      <w:r>
        <w:rPr>
          <w:rFonts w:hint="eastAsia" w:ascii="宋体" w:hAnsi="宋体"/>
          <w:sz w:val="24"/>
          <w:szCs w:val="24"/>
        </w:rPr>
        <w:t>二、预算管理系统核心功能</w:t>
      </w:r>
    </w:p>
    <w:p w14:paraId="5845A0A0">
      <w:pPr>
        <w:spacing w:line="360" w:lineRule="auto"/>
        <w:ind w:firstLine="566" w:firstLineChars="236"/>
        <w:jc w:val="left"/>
        <w:rPr>
          <w:rFonts w:ascii="宋体" w:hAnsi="宋体"/>
          <w:sz w:val="24"/>
          <w:szCs w:val="24"/>
        </w:rPr>
      </w:pPr>
      <w:r>
        <w:rPr>
          <w:rFonts w:hint="eastAsia" w:ascii="宋体" w:hAnsi="宋体"/>
          <w:sz w:val="24"/>
          <w:szCs w:val="24"/>
        </w:rPr>
        <w:t>（一）预算基础数据管理</w:t>
      </w:r>
    </w:p>
    <w:p w14:paraId="02300042">
      <w:pPr>
        <w:spacing w:line="360" w:lineRule="auto"/>
        <w:ind w:firstLine="566" w:firstLineChars="236"/>
        <w:jc w:val="left"/>
        <w:rPr>
          <w:rFonts w:ascii="宋体" w:hAnsi="宋体"/>
          <w:sz w:val="24"/>
          <w:szCs w:val="24"/>
        </w:rPr>
      </w:pPr>
      <w:r>
        <w:rPr>
          <w:rFonts w:hint="eastAsia" w:ascii="宋体" w:hAnsi="宋体"/>
          <w:sz w:val="24"/>
          <w:szCs w:val="24"/>
        </w:rPr>
        <w:t>系统应支持预算基础数据的采集与管理功能，包括人员数量及工资数据、教职工分类数据（在编教职工、合同制教职工、行政管理人员、专任教师）、学生数量及奖助贷标准数据、党员数量数据、教研室及专业数据等。数据采集维度应根据学院预算管理制度进行定制化设计，同时支持数据导入功能，辅助高效完成预算基础数据采集。系统应支持业务信息申报页面的自定义配置，允许各责任部门按权限维护对应的业务信息，并形成业务信息汇总展示表。</w:t>
      </w:r>
    </w:p>
    <w:p w14:paraId="06868732">
      <w:pPr>
        <w:spacing w:line="360" w:lineRule="auto"/>
        <w:ind w:firstLine="566" w:firstLineChars="236"/>
        <w:jc w:val="left"/>
        <w:rPr>
          <w:rFonts w:ascii="宋体" w:hAnsi="宋体"/>
          <w:sz w:val="24"/>
          <w:szCs w:val="24"/>
        </w:rPr>
      </w:pPr>
      <w:r>
        <w:rPr>
          <w:rFonts w:hint="eastAsia" w:ascii="宋体" w:hAnsi="宋体"/>
          <w:sz w:val="24"/>
          <w:szCs w:val="24"/>
        </w:rPr>
        <w:t>（二）预算编制</w:t>
      </w:r>
    </w:p>
    <w:p w14:paraId="71FD4AE0">
      <w:pPr>
        <w:spacing w:line="360" w:lineRule="auto"/>
        <w:ind w:firstLine="566" w:firstLineChars="236"/>
        <w:jc w:val="left"/>
        <w:rPr>
          <w:rFonts w:ascii="宋体" w:hAnsi="宋体"/>
          <w:sz w:val="24"/>
          <w:szCs w:val="24"/>
        </w:rPr>
      </w:pPr>
      <w:r>
        <w:rPr>
          <w:rFonts w:hint="eastAsia" w:ascii="宋体" w:hAnsi="宋体"/>
          <w:sz w:val="24"/>
          <w:szCs w:val="24"/>
        </w:rPr>
        <w:t>支出预算编制应采用“二上二下”编审流程，支持多种预算类型编审、项目明细操作及结转项目编报统计。收入预算应涵盖学费收入、住宿费收入、合作培训及考试收入、科研事业收入（纵向科研拨款、横向科研到款）、财政补助收入（基本支出补助、项目支出补助、学生资助补助、科研项目补助）、其他收入等多种收入类型，可按不同方式进行填报汇总。预算编制应支持从项目库抽取已储备项目合并提交申报，同时允许根据预算管理实际情况直接进行无项目库预算申报。</w:t>
      </w:r>
    </w:p>
    <w:p w14:paraId="1D2E6FAE">
      <w:pPr>
        <w:spacing w:line="360" w:lineRule="auto"/>
        <w:ind w:firstLine="566" w:firstLineChars="236"/>
        <w:jc w:val="left"/>
        <w:rPr>
          <w:rFonts w:ascii="宋体" w:hAnsi="宋体"/>
          <w:sz w:val="24"/>
          <w:szCs w:val="24"/>
        </w:rPr>
      </w:pPr>
      <w:r>
        <w:rPr>
          <w:rFonts w:hint="eastAsia" w:ascii="宋体" w:hAnsi="宋体"/>
          <w:sz w:val="24"/>
          <w:szCs w:val="24"/>
        </w:rPr>
        <w:t>系统应提供预算编制样式的自定义功能，各归口部门或预算管理部门可通过填报样式自定义设置填写表单，包括项目名称、所属部门、申报金额、申报依据等字段，并可增加附属表单（如经费明细申报、采购内容、测算依据等）。同时应支持预算标准规则的设置，按固定值与浮动区间两种方式实现预算测算，固定值计算时可自定义编辑基本信息与计算标准，浮动区间计算时可自定义编辑基本信息、基础标准、基础数量、区间浮动标准，并可自动提取业务信息辅助完成预算测算工作。</w:t>
      </w:r>
    </w:p>
    <w:p w14:paraId="197F1F3C">
      <w:pPr>
        <w:spacing w:line="360" w:lineRule="auto"/>
        <w:ind w:firstLine="566" w:firstLineChars="236"/>
        <w:jc w:val="left"/>
        <w:rPr>
          <w:rFonts w:ascii="宋体" w:hAnsi="宋体"/>
          <w:sz w:val="24"/>
          <w:szCs w:val="24"/>
        </w:rPr>
      </w:pPr>
      <w:r>
        <w:rPr>
          <w:rFonts w:hint="eastAsia" w:ascii="宋体" w:hAnsi="宋体"/>
          <w:sz w:val="24"/>
          <w:szCs w:val="24"/>
        </w:rPr>
        <w:t>在编审环节，系统应支持预算项目进入评审中心进行预算评审，支持推荐、淘汰驳回、退回修改后推荐等功能，评审后可撤回。预算编制完成后应具备自动汇总功能，能随时形成多种校内预算统计数据，支持自定义查询、列表显示及数据导出。应支持审核流程配置，可灵活设置审批节点，一键导出待上会材料，按院长办公会意见批复项目金额。人员经费预算编制应具备自动联动功能：根据上一年度实际发放情况测算当年人员支出，如教职工养老保险缴费基数变动等因素自动测算下一年度预算数，提高编制准确性。</w:t>
      </w:r>
    </w:p>
    <w:p w14:paraId="3CDDFD0A">
      <w:pPr>
        <w:spacing w:line="360" w:lineRule="auto"/>
        <w:ind w:firstLine="566" w:firstLineChars="236"/>
        <w:jc w:val="left"/>
        <w:rPr>
          <w:rFonts w:ascii="宋体" w:hAnsi="宋体"/>
          <w:sz w:val="24"/>
          <w:szCs w:val="24"/>
        </w:rPr>
      </w:pPr>
      <w:r>
        <w:rPr>
          <w:rFonts w:hint="eastAsia" w:ascii="宋体" w:hAnsi="宋体"/>
          <w:sz w:val="24"/>
          <w:szCs w:val="24"/>
        </w:rPr>
        <w:t>（三）预算项目库管理</w:t>
      </w:r>
    </w:p>
    <w:p w14:paraId="2B4143F9">
      <w:pPr>
        <w:spacing w:line="360" w:lineRule="auto"/>
        <w:ind w:firstLine="566" w:firstLineChars="236"/>
        <w:jc w:val="left"/>
        <w:rPr>
          <w:rFonts w:ascii="宋体" w:hAnsi="宋体"/>
          <w:sz w:val="24"/>
          <w:szCs w:val="24"/>
        </w:rPr>
      </w:pPr>
      <w:r>
        <w:rPr>
          <w:rFonts w:hint="eastAsia" w:ascii="宋体" w:hAnsi="宋体"/>
          <w:sz w:val="24"/>
          <w:szCs w:val="24"/>
        </w:rPr>
        <w:t>系统应实现项目库与预算协同管理，具备专项项目申报审批、专家库管理、项目出入库管理、预算拨付与调整、人员支出测算、统计管理等核心功能。平台应支持部门用户管理、项目类型字典维护、预算模板与绩效指标模板设置，实现项目从申报、审批到入库、出库的全流程管理。项目库应支持从项目储备库中提取项目合并提交预算申报，支持归口业务部门自主管理项目的需求。</w:t>
      </w:r>
    </w:p>
    <w:p w14:paraId="01D96B0C">
      <w:pPr>
        <w:spacing w:line="360" w:lineRule="auto"/>
        <w:ind w:firstLine="566" w:firstLineChars="236"/>
        <w:jc w:val="left"/>
        <w:rPr>
          <w:rFonts w:ascii="宋体" w:hAnsi="宋体"/>
          <w:sz w:val="24"/>
          <w:szCs w:val="24"/>
        </w:rPr>
      </w:pPr>
      <w:r>
        <w:rPr>
          <w:rFonts w:hint="eastAsia" w:ascii="宋体" w:hAnsi="宋体"/>
          <w:sz w:val="24"/>
          <w:szCs w:val="24"/>
        </w:rPr>
        <w:t>（四）预算指标管理与控制</w:t>
      </w:r>
    </w:p>
    <w:p w14:paraId="0CEC58B2">
      <w:pPr>
        <w:spacing w:line="360" w:lineRule="auto"/>
        <w:ind w:firstLine="566" w:firstLineChars="236"/>
        <w:jc w:val="left"/>
        <w:rPr>
          <w:rFonts w:ascii="宋体" w:hAnsi="宋体"/>
          <w:sz w:val="24"/>
          <w:szCs w:val="24"/>
        </w:rPr>
      </w:pPr>
      <w:r>
        <w:rPr>
          <w:rFonts w:hint="eastAsia" w:ascii="宋体" w:hAnsi="宋体"/>
          <w:sz w:val="24"/>
          <w:szCs w:val="24"/>
        </w:rPr>
        <w:t>系统应支持预算批复功能，财务部门可创建、选择预算项目进行预算批复，批复完成后可推送至预算单位进行下拨确认。应支持预算资金计划管理，设置财务经费项目编号，实现预算项目及项目凭证以及额度向会计核算系统的推送。</w:t>
      </w:r>
    </w:p>
    <w:p w14:paraId="62135405">
      <w:pPr>
        <w:spacing w:line="360" w:lineRule="auto"/>
        <w:ind w:firstLine="566" w:firstLineChars="236"/>
        <w:jc w:val="left"/>
        <w:rPr>
          <w:rFonts w:ascii="宋体" w:hAnsi="宋体"/>
          <w:sz w:val="24"/>
          <w:szCs w:val="24"/>
        </w:rPr>
      </w:pPr>
      <w:r>
        <w:rPr>
          <w:rFonts w:hint="eastAsia" w:ascii="宋体" w:hAnsi="宋体"/>
          <w:sz w:val="24"/>
          <w:szCs w:val="24"/>
        </w:rPr>
        <w:t>预算控制功能应包括预算项目和预算科目设置，支持总额控制、使用范围控制及多种授权模式，可合理调整预算并控制数据权限，支持预算科目实行强控、弱控、不控。系统应支持人员经费、公用经费、项目经费等预算指标细化分解，与网上报销系统衔接，进行预算指标控制，满足预算执行管理要求。预算控制应实现“无预算不支出”的刚性控制：各二级单位提交报销申请时，系统自动校验预算科目余额，超预算或无预算申请自动拦截并提示。系统应支持预算控制口径的多维管理，包括按预算科目控制（如教学日常公用支出、专业课程建设经费）、按经费项目控制、按经费类型控制（人员经费、运行经费、专项经费、留成经费等），满足学院不同管理场景的需求。预算科目互斥校验功能：当报销申请人选择互斥科目（如同一业务同时选择教学日常公用支出和专业课程建设经费）时，系统自动提示并阻止提交。</w:t>
      </w:r>
    </w:p>
    <w:p w14:paraId="1A8B2CDC">
      <w:pPr>
        <w:spacing w:line="360" w:lineRule="auto"/>
        <w:ind w:firstLine="566" w:firstLineChars="236"/>
        <w:jc w:val="left"/>
        <w:rPr>
          <w:rFonts w:ascii="宋体" w:hAnsi="宋体"/>
          <w:sz w:val="24"/>
          <w:szCs w:val="24"/>
        </w:rPr>
      </w:pPr>
      <w:r>
        <w:rPr>
          <w:rFonts w:hint="eastAsia" w:ascii="宋体" w:hAnsi="宋体"/>
          <w:sz w:val="24"/>
          <w:szCs w:val="24"/>
        </w:rPr>
        <w:t>（五）预算执行管理</w:t>
      </w:r>
    </w:p>
    <w:p w14:paraId="6844B170">
      <w:pPr>
        <w:spacing w:line="360" w:lineRule="auto"/>
        <w:ind w:firstLine="566" w:firstLineChars="236"/>
        <w:jc w:val="left"/>
        <w:rPr>
          <w:rFonts w:ascii="宋体" w:hAnsi="宋体"/>
          <w:sz w:val="24"/>
          <w:szCs w:val="24"/>
        </w:rPr>
      </w:pPr>
      <w:r>
        <w:rPr>
          <w:rFonts w:hint="eastAsia" w:ascii="宋体" w:hAnsi="宋体"/>
          <w:sz w:val="24"/>
          <w:szCs w:val="24"/>
        </w:rPr>
        <w:t>系统应支持支出预算执行与报销及核算系统的对接，实现支出预算执行率的实时呈现及预警。系统应支持预算执行进度的多维度监控（按部门、按项目、按预算科目、按时间进度），当执行率达到80%时自动发送提醒通知，达到95%时除特殊情况外暂停支出审批（执行率可调整）。</w:t>
      </w:r>
    </w:p>
    <w:p w14:paraId="2E57F466">
      <w:pPr>
        <w:spacing w:line="360" w:lineRule="auto"/>
        <w:ind w:firstLine="566" w:firstLineChars="236"/>
        <w:jc w:val="left"/>
        <w:rPr>
          <w:rFonts w:ascii="宋体" w:hAnsi="宋体"/>
          <w:sz w:val="24"/>
          <w:szCs w:val="24"/>
        </w:rPr>
      </w:pPr>
      <w:r>
        <w:rPr>
          <w:rFonts w:hint="eastAsia" w:ascii="宋体" w:hAnsi="宋体"/>
          <w:sz w:val="24"/>
          <w:szCs w:val="24"/>
        </w:rPr>
        <w:t>（六）预算调整</w:t>
      </w:r>
    </w:p>
    <w:p w14:paraId="7F47B74E">
      <w:pPr>
        <w:spacing w:line="360" w:lineRule="auto"/>
        <w:ind w:firstLine="566" w:firstLineChars="236"/>
        <w:jc w:val="left"/>
        <w:rPr>
          <w:rFonts w:ascii="宋体" w:hAnsi="宋体"/>
          <w:sz w:val="24"/>
          <w:szCs w:val="24"/>
        </w:rPr>
      </w:pPr>
      <w:r>
        <w:rPr>
          <w:rFonts w:hint="eastAsia" w:ascii="宋体" w:hAnsi="宋体"/>
          <w:sz w:val="24"/>
          <w:szCs w:val="24"/>
        </w:rPr>
        <w:t>系统应支持预算调整功能，预算申报单位可新增调整单，支持查询所选预算的可执行金额。预算调整单经审核后调整金额生效，关联项目的预算批复金额根据调整单自动进行调整。应支持预算调剂功能，按预算科目间调剂规则设置限制，跨类调剂和追加预算须经院长办公会审议。系统应保存完整的预算调整历史记录，包括调整前后预算、调整原因、审批人、审批时间等关键信息，实现调整追溯审计。</w:t>
      </w:r>
    </w:p>
    <w:p w14:paraId="7D502BC2">
      <w:pPr>
        <w:spacing w:line="360" w:lineRule="auto"/>
        <w:ind w:firstLine="566" w:firstLineChars="236"/>
        <w:jc w:val="left"/>
        <w:rPr>
          <w:rFonts w:ascii="宋体" w:hAnsi="宋体"/>
          <w:sz w:val="24"/>
          <w:szCs w:val="24"/>
        </w:rPr>
      </w:pPr>
      <w:r>
        <w:rPr>
          <w:rFonts w:hint="eastAsia" w:ascii="宋体" w:hAnsi="宋体"/>
          <w:sz w:val="24"/>
          <w:szCs w:val="24"/>
        </w:rPr>
        <w:t>（七）预算查询与分析</w:t>
      </w:r>
    </w:p>
    <w:p w14:paraId="07ABBE6C">
      <w:pPr>
        <w:spacing w:line="360" w:lineRule="auto"/>
        <w:ind w:firstLine="566" w:firstLineChars="236"/>
        <w:jc w:val="left"/>
        <w:rPr>
          <w:rFonts w:ascii="宋体" w:hAnsi="宋体"/>
          <w:sz w:val="24"/>
          <w:szCs w:val="24"/>
        </w:rPr>
      </w:pPr>
      <w:r>
        <w:rPr>
          <w:rFonts w:hint="eastAsia" w:ascii="宋体" w:hAnsi="宋体"/>
          <w:sz w:val="24"/>
          <w:szCs w:val="24"/>
        </w:rPr>
        <w:t>系统应提供实时的预算执行情况查询功能，可按条件筛选、导出结果并穿透查询资金到位明细。应支持收入预算汇总表、支出预算汇总表、支出预算明细表的数据呈现，支持以部门维度和项目维度进行切换。系统应提供预算执行分析报告，包括人员分析、收入分析、支出分析、收支对比分析、专项事务分析、部门领导看板等决策分析功能，支持移动端应用。</w:t>
      </w:r>
    </w:p>
    <w:p w14:paraId="62B4DBF8">
      <w:pPr>
        <w:spacing w:line="360" w:lineRule="auto"/>
        <w:ind w:firstLine="566" w:firstLineChars="236"/>
        <w:jc w:val="left"/>
        <w:rPr>
          <w:rFonts w:ascii="宋体" w:hAnsi="宋体"/>
          <w:sz w:val="24"/>
          <w:szCs w:val="24"/>
        </w:rPr>
      </w:pPr>
      <w:r>
        <w:rPr>
          <w:rFonts w:hint="eastAsia" w:ascii="宋体" w:hAnsi="宋体"/>
          <w:sz w:val="24"/>
          <w:szCs w:val="24"/>
        </w:rPr>
        <w:t>（八）预算绩效管理</w:t>
      </w:r>
    </w:p>
    <w:p w14:paraId="4F67B5C6">
      <w:pPr>
        <w:spacing w:line="360" w:lineRule="auto"/>
        <w:ind w:firstLine="566" w:firstLineChars="236"/>
        <w:jc w:val="left"/>
        <w:rPr>
          <w:rFonts w:ascii="宋体" w:hAnsi="宋体"/>
          <w:sz w:val="24"/>
          <w:szCs w:val="24"/>
        </w:rPr>
      </w:pPr>
      <w:r>
        <w:rPr>
          <w:rFonts w:hint="eastAsia" w:ascii="宋体" w:hAnsi="宋体"/>
          <w:sz w:val="24"/>
          <w:szCs w:val="24"/>
        </w:rPr>
        <w:t>系统应支持绩效目标与预算指标同步编制功能，绩效目标由指标内容、指标完成值、指标完成值来源和指标评扣分方法四个核心要素构成。在预算执行过程中，系统应支持项目执行情况监控和项目绩效运行监控，预算执行进度和绩效目标实现程度同步监控、同步预警。系统应支持绩效自评数据的在线采集和填报，根据预置自评模板实现自我评价，并一键生成自评报告。绩效评价结果应与下一年度预算安排建立关联机制，评价结果不理想的专项经费可适度调减下一年度预算安排额度。</w:t>
      </w:r>
    </w:p>
    <w:p w14:paraId="58B5505C">
      <w:pPr>
        <w:spacing w:line="360" w:lineRule="auto"/>
        <w:ind w:firstLine="566" w:firstLineChars="236"/>
        <w:jc w:val="left"/>
        <w:rPr>
          <w:rFonts w:ascii="宋体" w:hAnsi="宋体"/>
          <w:sz w:val="24"/>
          <w:szCs w:val="24"/>
        </w:rPr>
      </w:pPr>
      <w:r>
        <w:rPr>
          <w:rFonts w:hint="eastAsia" w:ascii="宋体" w:hAnsi="宋体"/>
          <w:sz w:val="24"/>
          <w:szCs w:val="24"/>
        </w:rPr>
        <w:t>（九）数据迁移</w:t>
      </w:r>
    </w:p>
    <w:p w14:paraId="3ED8B4AF">
      <w:pPr>
        <w:spacing w:line="360" w:lineRule="auto"/>
        <w:ind w:firstLine="566" w:firstLineChars="236"/>
        <w:jc w:val="left"/>
        <w:rPr>
          <w:rFonts w:ascii="宋体" w:hAnsi="宋体"/>
          <w:sz w:val="24"/>
          <w:szCs w:val="24"/>
        </w:rPr>
      </w:pPr>
      <w:r>
        <w:rPr>
          <w:rFonts w:hint="eastAsia" w:ascii="宋体" w:hAnsi="宋体"/>
          <w:sz w:val="24"/>
          <w:szCs w:val="24"/>
        </w:rPr>
        <w:t>中标供应商须安排专人协助校方完成近三年预算项目数据的系统录入工作，保障数据完整录入，为学校后续开展项目管理、数据查询等日常工作提供支撑。</w:t>
      </w:r>
    </w:p>
    <w:p w14:paraId="1A98808F">
      <w:pPr>
        <w:spacing w:line="360" w:lineRule="auto"/>
        <w:ind w:firstLine="566" w:firstLineChars="236"/>
        <w:jc w:val="left"/>
        <w:rPr>
          <w:rFonts w:ascii="宋体" w:hAnsi="宋体"/>
          <w:sz w:val="24"/>
          <w:szCs w:val="24"/>
        </w:rPr>
      </w:pPr>
      <w:r>
        <w:rPr>
          <w:rFonts w:hint="eastAsia" w:ascii="宋体" w:hAnsi="宋体"/>
          <w:sz w:val="24"/>
          <w:szCs w:val="24"/>
        </w:rPr>
        <w:t>三、网上报销系统核心功能</w:t>
      </w:r>
    </w:p>
    <w:p w14:paraId="67889F66">
      <w:pPr>
        <w:spacing w:line="360" w:lineRule="auto"/>
        <w:ind w:firstLine="566" w:firstLineChars="236"/>
        <w:jc w:val="left"/>
        <w:rPr>
          <w:rFonts w:ascii="宋体" w:hAnsi="宋体"/>
          <w:sz w:val="24"/>
          <w:szCs w:val="24"/>
        </w:rPr>
      </w:pPr>
      <w:r>
        <w:rPr>
          <w:rFonts w:hint="eastAsia" w:ascii="宋体" w:hAnsi="宋体"/>
          <w:sz w:val="24"/>
          <w:szCs w:val="24"/>
        </w:rPr>
        <w:t>（一）报销申请与填报</w:t>
      </w:r>
    </w:p>
    <w:p w14:paraId="7F5807C2">
      <w:pPr>
        <w:spacing w:line="360" w:lineRule="auto"/>
        <w:ind w:firstLine="566" w:firstLineChars="236"/>
        <w:jc w:val="left"/>
        <w:rPr>
          <w:rFonts w:ascii="宋体" w:hAnsi="宋体"/>
          <w:sz w:val="24"/>
          <w:szCs w:val="24"/>
        </w:rPr>
      </w:pPr>
      <w:r>
        <w:rPr>
          <w:rFonts w:hint="eastAsia" w:ascii="宋体" w:hAnsi="宋体"/>
          <w:sz w:val="24"/>
          <w:szCs w:val="24"/>
        </w:rPr>
        <w:t>系统应支持日常报销、差旅报销、资产报销、借款、酬金申报等全业务场景的网上填报。报销流程可设计为“网上填报→网上审批→收单管理→后台审核→后台复核→自动生成凭证→资金支付→短信通知”的完整链条。系统应支持单据模板自定义，采用完全定制化的单据模板，实现标准化管理与个性化配置的有机结合，适应学院对报销业务管理的多样性需求。</w:t>
      </w:r>
    </w:p>
    <w:p w14:paraId="6F2E9968">
      <w:pPr>
        <w:spacing w:line="360" w:lineRule="auto"/>
        <w:ind w:firstLine="566" w:firstLineChars="236"/>
        <w:jc w:val="left"/>
        <w:rPr>
          <w:rFonts w:ascii="宋体" w:hAnsi="宋体"/>
          <w:sz w:val="24"/>
          <w:szCs w:val="24"/>
        </w:rPr>
      </w:pPr>
      <w:r>
        <w:rPr>
          <w:rFonts w:hint="eastAsia" w:ascii="宋体" w:hAnsi="宋体"/>
          <w:sz w:val="24"/>
          <w:szCs w:val="24"/>
        </w:rPr>
        <w:t>系统应支持移动端（APP/小程序）与PC端多渠道填报，报销人可随时随地进行报销申请。系统应具备填报辅助功能：自动填充常用信息、提供填报指南、历史报销单复用等，降低填报门槛。</w:t>
      </w:r>
    </w:p>
    <w:p w14:paraId="69C01541">
      <w:pPr>
        <w:spacing w:line="360" w:lineRule="auto"/>
        <w:ind w:firstLine="566" w:firstLineChars="236"/>
        <w:jc w:val="left"/>
        <w:rPr>
          <w:rFonts w:ascii="宋体" w:hAnsi="宋体"/>
          <w:sz w:val="24"/>
          <w:szCs w:val="24"/>
        </w:rPr>
      </w:pPr>
      <w:r>
        <w:rPr>
          <w:rFonts w:hint="eastAsia" w:ascii="宋体" w:hAnsi="宋体"/>
          <w:sz w:val="24"/>
          <w:szCs w:val="24"/>
        </w:rPr>
        <w:t>（二）发票管理与OCR识别</w:t>
      </w:r>
    </w:p>
    <w:p w14:paraId="08FC3CCD">
      <w:pPr>
        <w:spacing w:line="360" w:lineRule="auto"/>
        <w:ind w:firstLine="566" w:firstLineChars="236"/>
        <w:jc w:val="left"/>
        <w:rPr>
          <w:rFonts w:ascii="宋体" w:hAnsi="宋体"/>
          <w:sz w:val="24"/>
          <w:szCs w:val="24"/>
        </w:rPr>
      </w:pPr>
      <w:r>
        <w:rPr>
          <w:rFonts w:hint="eastAsia" w:ascii="宋体" w:hAnsi="宋体"/>
          <w:sz w:val="24"/>
          <w:szCs w:val="24"/>
        </w:rPr>
        <w:t>系统应支持多渠道采集发票（扫码、拍照、导入等），自动对增值税发票进行验真、去重及分类管理。应支持通过乐企进项票接口获取全国合作方开具的数电发票（XML/PDF/OFD格式），并存储在本地业务系统中供其他系统灵活调用。系统应支持发票合规性自动校验，包括真伪验证、重复报销检测、连号检测、抬头校验等。</w:t>
      </w:r>
    </w:p>
    <w:p w14:paraId="4FB54450">
      <w:pPr>
        <w:spacing w:line="360" w:lineRule="auto"/>
        <w:ind w:firstLine="566" w:firstLineChars="236"/>
        <w:jc w:val="left"/>
        <w:rPr>
          <w:rFonts w:ascii="宋体" w:hAnsi="宋体"/>
          <w:sz w:val="24"/>
          <w:szCs w:val="24"/>
        </w:rPr>
      </w:pPr>
      <w:r>
        <w:rPr>
          <w:rFonts w:hint="eastAsia" w:ascii="宋体" w:hAnsi="宋体"/>
          <w:sz w:val="24"/>
          <w:szCs w:val="24"/>
        </w:rPr>
        <w:t>（三）智能稽核</w:t>
      </w:r>
    </w:p>
    <w:p w14:paraId="780A819B">
      <w:pPr>
        <w:spacing w:line="360" w:lineRule="auto"/>
        <w:ind w:firstLine="566" w:firstLineChars="236"/>
        <w:jc w:val="left"/>
        <w:rPr>
          <w:rFonts w:ascii="宋体" w:hAnsi="宋体"/>
          <w:sz w:val="24"/>
          <w:szCs w:val="24"/>
        </w:rPr>
      </w:pPr>
      <w:r>
        <w:rPr>
          <w:rFonts w:hint="eastAsia" w:ascii="宋体" w:hAnsi="宋体"/>
          <w:sz w:val="24"/>
          <w:szCs w:val="24"/>
        </w:rPr>
        <w:t>系统应在网报端嵌入多级预警稽核规则（一级警告、二级需补材料、三级禁提），支持按业务类型动态调整规则。稽核规则应涵盖发票合规性校验、经济分类规则校验、预算额度校验、支付黑名单校验、业务真实性校验等。系统应配置差旅标准（乘车标准、住宿标准、补助标准）、会议费标准、培训费标准等基础数据，支持自定义稽核模型。系统应提供详尽的稽核模型和规则，对网报、申报等业务数据进行校验，将稽核结果反馈给报销人、审核人、会计。</w:t>
      </w:r>
    </w:p>
    <w:p w14:paraId="461B21A0">
      <w:pPr>
        <w:spacing w:line="360" w:lineRule="auto"/>
        <w:ind w:firstLine="566" w:firstLineChars="236"/>
        <w:jc w:val="left"/>
        <w:rPr>
          <w:rFonts w:ascii="宋体" w:hAnsi="宋体"/>
          <w:sz w:val="24"/>
          <w:szCs w:val="24"/>
        </w:rPr>
      </w:pPr>
      <w:r>
        <w:rPr>
          <w:rFonts w:hint="eastAsia" w:ascii="宋体" w:hAnsi="宋体"/>
          <w:sz w:val="24"/>
          <w:szCs w:val="24"/>
        </w:rPr>
        <w:t>（四）线上审批与电子签章</w:t>
      </w:r>
    </w:p>
    <w:p w14:paraId="19E5DCCE">
      <w:pPr>
        <w:spacing w:line="360" w:lineRule="auto"/>
        <w:ind w:firstLine="566" w:firstLineChars="236"/>
        <w:jc w:val="left"/>
        <w:rPr>
          <w:rFonts w:ascii="宋体" w:hAnsi="宋体"/>
          <w:sz w:val="24"/>
          <w:szCs w:val="24"/>
        </w:rPr>
      </w:pPr>
      <w:r>
        <w:rPr>
          <w:rFonts w:hint="eastAsia" w:ascii="宋体" w:hAnsi="宋体"/>
          <w:sz w:val="24"/>
          <w:szCs w:val="24"/>
        </w:rPr>
        <w:t>系统应支持PC端和移动端多渠道审批，可自定义审批流程、动态调整审批人、设置回避规则及电子签章（密码/短信验证）。审批过程应全程留痕可追溯，支持附件查看与意见填写。审批流程应支持互斥网关、并行网关、包容网关等多种网关类型，处理工作流同一级别节点分支条件。系统应支持会签模式，包括并行会签和串行会签，多人表决后根据汇总结果决定流程方向。应支持连审功能，同一用户有连续两个或两个以上审批节点权限时只需审批一次，自动通过。应支持审批流程委托授权管理，支持设置委托时间、委托生效的业务模块，受托人在委托时效内拥有审批决策权限，委托人可随时收回委托。</w:t>
      </w:r>
    </w:p>
    <w:p w14:paraId="225490F9">
      <w:pPr>
        <w:spacing w:line="360" w:lineRule="auto"/>
        <w:ind w:firstLine="566" w:firstLineChars="236"/>
        <w:jc w:val="left"/>
        <w:rPr>
          <w:rFonts w:ascii="宋体" w:hAnsi="宋体"/>
          <w:sz w:val="24"/>
          <w:szCs w:val="24"/>
        </w:rPr>
      </w:pPr>
      <w:r>
        <w:rPr>
          <w:rFonts w:hint="eastAsia" w:ascii="宋体" w:hAnsi="宋体"/>
          <w:sz w:val="24"/>
          <w:szCs w:val="24"/>
        </w:rPr>
        <w:t>（五）预算控制联动</w:t>
      </w:r>
    </w:p>
    <w:p w14:paraId="214A5489">
      <w:pPr>
        <w:spacing w:line="360" w:lineRule="auto"/>
        <w:ind w:firstLine="566" w:firstLineChars="236"/>
        <w:jc w:val="left"/>
        <w:rPr>
          <w:rFonts w:ascii="宋体" w:hAnsi="宋体"/>
          <w:sz w:val="24"/>
          <w:szCs w:val="24"/>
        </w:rPr>
      </w:pPr>
      <w:r>
        <w:rPr>
          <w:rFonts w:hint="eastAsia" w:ascii="宋体" w:hAnsi="宋体"/>
          <w:sz w:val="24"/>
          <w:szCs w:val="24"/>
        </w:rPr>
        <w:t>系统应在网上报销过程中与预算管理系统实时联动，报销提交时自动校验预算科目可用余额，超预算或无预算时自动拦截并提示。系统应支持预算科目余额的多级预警机制。报销业务信息在后台进行实时校验，保证申请通过的业务在财务核算系统中确实可行。网上报销系统应内置各项支出标准，体现内控细则，如乘车标准、住宿标准、补助标准、审批权限等。</w:t>
      </w:r>
    </w:p>
    <w:p w14:paraId="3B99C876">
      <w:pPr>
        <w:spacing w:line="360" w:lineRule="auto"/>
        <w:ind w:firstLine="566" w:firstLineChars="236"/>
        <w:jc w:val="left"/>
        <w:rPr>
          <w:rFonts w:ascii="宋体" w:hAnsi="宋体"/>
          <w:sz w:val="24"/>
          <w:szCs w:val="24"/>
        </w:rPr>
      </w:pPr>
      <w:r>
        <w:rPr>
          <w:rFonts w:hint="eastAsia" w:ascii="宋体" w:hAnsi="宋体"/>
          <w:sz w:val="24"/>
          <w:szCs w:val="24"/>
        </w:rPr>
        <w:t>（六）借款管理</w:t>
      </w:r>
    </w:p>
    <w:p w14:paraId="15AC35A8">
      <w:pPr>
        <w:spacing w:line="360" w:lineRule="auto"/>
        <w:ind w:firstLine="566" w:firstLineChars="236"/>
        <w:jc w:val="left"/>
        <w:rPr>
          <w:rFonts w:ascii="宋体" w:hAnsi="宋体"/>
          <w:sz w:val="24"/>
          <w:szCs w:val="24"/>
        </w:rPr>
      </w:pPr>
      <w:r>
        <w:rPr>
          <w:rFonts w:hint="eastAsia" w:ascii="宋体" w:hAnsi="宋体"/>
          <w:sz w:val="24"/>
          <w:szCs w:val="24"/>
        </w:rPr>
        <w:t>系统应实现借款申请、借款审批、借款核销的全流程管理。报销时可自动关联历史借款，支持先核销借款再报销差额的流程。系统应提供借款余额查询和借款逾期预警功能，借款超过约定期限后自动提醒。</w:t>
      </w:r>
    </w:p>
    <w:p w14:paraId="0A9318E5">
      <w:pPr>
        <w:spacing w:line="360" w:lineRule="auto"/>
        <w:ind w:firstLine="566" w:firstLineChars="236"/>
        <w:jc w:val="left"/>
        <w:rPr>
          <w:rFonts w:ascii="宋体" w:hAnsi="宋体"/>
          <w:sz w:val="24"/>
          <w:szCs w:val="24"/>
        </w:rPr>
      </w:pPr>
      <w:r>
        <w:rPr>
          <w:rFonts w:hint="eastAsia" w:ascii="宋体" w:hAnsi="宋体"/>
          <w:sz w:val="24"/>
          <w:szCs w:val="24"/>
        </w:rPr>
        <w:t>（七）报销单据跟踪与查询</w:t>
      </w:r>
    </w:p>
    <w:p w14:paraId="482EB8C5">
      <w:pPr>
        <w:spacing w:line="360" w:lineRule="auto"/>
        <w:ind w:firstLine="566" w:firstLineChars="236"/>
        <w:jc w:val="left"/>
        <w:rPr>
          <w:rFonts w:ascii="宋体" w:hAnsi="宋体"/>
          <w:sz w:val="24"/>
          <w:szCs w:val="24"/>
        </w:rPr>
      </w:pPr>
      <w:r>
        <w:rPr>
          <w:rFonts w:hint="eastAsia" w:ascii="宋体" w:hAnsi="宋体"/>
          <w:sz w:val="24"/>
          <w:szCs w:val="24"/>
        </w:rPr>
        <w:t>系统应提供报销单物流跟踪功能，报销人可实时查询报销单所处审批环节和处理进度。支持借款报销、退款查询、报销付款、借款余额等丰富账表查询功能。系统应支持短信通知功能，关键审批节点通过短信或微信通知相关处理人。</w:t>
      </w:r>
    </w:p>
    <w:p w14:paraId="43734485">
      <w:pPr>
        <w:spacing w:line="360" w:lineRule="auto"/>
        <w:ind w:firstLine="566" w:firstLineChars="236"/>
        <w:jc w:val="left"/>
        <w:rPr>
          <w:rFonts w:ascii="宋体" w:hAnsi="宋体"/>
          <w:sz w:val="24"/>
          <w:szCs w:val="24"/>
        </w:rPr>
      </w:pPr>
      <w:r>
        <w:rPr>
          <w:rFonts w:hint="eastAsia" w:ascii="宋体" w:hAnsi="宋体"/>
          <w:sz w:val="24"/>
          <w:szCs w:val="24"/>
        </w:rPr>
        <w:t>（八）自动制证与支付</w:t>
      </w:r>
    </w:p>
    <w:p w14:paraId="38186BD2">
      <w:pPr>
        <w:spacing w:line="360" w:lineRule="auto"/>
        <w:ind w:firstLine="566" w:firstLineChars="236"/>
        <w:jc w:val="left"/>
        <w:rPr>
          <w:rFonts w:ascii="宋体" w:hAnsi="宋体"/>
          <w:sz w:val="24"/>
          <w:szCs w:val="24"/>
        </w:rPr>
      </w:pPr>
      <w:r>
        <w:rPr>
          <w:rFonts w:hint="eastAsia" w:ascii="宋体" w:hAnsi="宋体"/>
          <w:sz w:val="24"/>
          <w:szCs w:val="24"/>
        </w:rPr>
        <w:t>系统应支持报销审批完成后自动生成记账凭证，并与银校互联平台对接实现网银支付。应支持与银行系统对接校验卡号有效性，支持多银行对接（含公务卡），实现资金支付的自动化处理。报销信息完成支付后，系统应自动推送通知至报销人。</w:t>
      </w:r>
    </w:p>
    <w:p w14:paraId="1BED3866">
      <w:pPr>
        <w:spacing w:line="360" w:lineRule="auto"/>
        <w:ind w:firstLine="566" w:firstLineChars="236"/>
        <w:jc w:val="left"/>
        <w:rPr>
          <w:rFonts w:ascii="宋体" w:hAnsi="宋体"/>
          <w:sz w:val="24"/>
          <w:szCs w:val="24"/>
        </w:rPr>
      </w:pPr>
      <w:r>
        <w:rPr>
          <w:rFonts w:hint="eastAsia" w:ascii="宋体" w:hAnsi="宋体"/>
          <w:sz w:val="24"/>
          <w:szCs w:val="24"/>
        </w:rPr>
        <w:t>（九）薪酬发放无纸化</w:t>
      </w:r>
    </w:p>
    <w:p w14:paraId="7699641D">
      <w:pPr>
        <w:spacing w:line="360" w:lineRule="auto"/>
        <w:ind w:firstLine="566" w:firstLineChars="236"/>
        <w:jc w:val="left"/>
        <w:rPr>
          <w:rFonts w:ascii="宋体" w:hAnsi="宋体"/>
          <w:sz w:val="24"/>
          <w:szCs w:val="24"/>
        </w:rPr>
      </w:pPr>
      <w:r>
        <w:rPr>
          <w:rFonts w:hint="eastAsia" w:ascii="宋体" w:hAnsi="宋体"/>
          <w:sz w:val="24"/>
          <w:szCs w:val="24"/>
        </w:rPr>
        <w:t>系统应支持线上酬金申报、审批、计税、发放及退扣费流程，与银行系统对接校验卡号有效性。应自动区分居民/非居民身份并适用不同计税规则，支持附件上传与电子签批。</w:t>
      </w:r>
    </w:p>
    <w:p w14:paraId="75A29C2D">
      <w:pPr>
        <w:spacing w:line="360" w:lineRule="auto"/>
        <w:ind w:firstLine="566" w:firstLineChars="236"/>
        <w:jc w:val="left"/>
        <w:rPr>
          <w:rFonts w:ascii="宋体" w:hAnsi="宋体"/>
          <w:sz w:val="24"/>
          <w:szCs w:val="24"/>
        </w:rPr>
      </w:pPr>
      <w:r>
        <w:rPr>
          <w:rFonts w:hint="eastAsia" w:ascii="宋体" w:hAnsi="宋体"/>
          <w:sz w:val="24"/>
          <w:szCs w:val="24"/>
        </w:rPr>
        <w:t>四、小额发放系统</w:t>
      </w:r>
    </w:p>
    <w:p w14:paraId="7A4E5CE9">
      <w:pPr>
        <w:spacing w:line="360" w:lineRule="auto"/>
        <w:ind w:firstLine="566" w:firstLineChars="236"/>
        <w:jc w:val="left"/>
        <w:rPr>
          <w:rFonts w:ascii="宋体" w:hAnsi="宋体"/>
          <w:sz w:val="24"/>
          <w:szCs w:val="24"/>
        </w:rPr>
      </w:pPr>
      <w:r>
        <w:rPr>
          <w:rFonts w:hint="eastAsia" w:ascii="宋体" w:hAnsi="宋体"/>
          <w:sz w:val="24"/>
          <w:szCs w:val="24"/>
        </w:rPr>
        <w:t>（一）发放项目</w:t>
      </w:r>
    </w:p>
    <w:p w14:paraId="2B4F4C82">
      <w:pPr>
        <w:spacing w:line="360" w:lineRule="auto"/>
        <w:ind w:firstLine="566" w:firstLineChars="236"/>
        <w:jc w:val="left"/>
        <w:rPr>
          <w:rFonts w:ascii="宋体" w:hAnsi="宋体"/>
          <w:sz w:val="24"/>
          <w:szCs w:val="24"/>
        </w:rPr>
      </w:pPr>
      <w:r>
        <w:rPr>
          <w:rFonts w:hint="eastAsia" w:ascii="宋体" w:hAnsi="宋体"/>
          <w:sz w:val="24"/>
          <w:szCs w:val="24"/>
        </w:rPr>
        <w:t>系统应支持管理员结合单位实际管理需求与业务安排，自主操作并灵活设置所有发放项目，适配不同使用场景。</w:t>
      </w:r>
    </w:p>
    <w:p w14:paraId="1C36E66E">
      <w:pPr>
        <w:spacing w:line="360" w:lineRule="auto"/>
        <w:ind w:firstLine="566" w:firstLineChars="236"/>
        <w:jc w:val="left"/>
        <w:rPr>
          <w:rFonts w:ascii="宋体" w:hAnsi="宋体"/>
          <w:sz w:val="24"/>
          <w:szCs w:val="24"/>
        </w:rPr>
      </w:pPr>
      <w:r>
        <w:rPr>
          <w:rFonts w:hint="eastAsia" w:ascii="宋体" w:hAnsi="宋体"/>
          <w:sz w:val="24"/>
          <w:szCs w:val="24"/>
        </w:rPr>
        <w:t>（二）发放人员管理</w:t>
      </w:r>
    </w:p>
    <w:p w14:paraId="0132BD37">
      <w:pPr>
        <w:spacing w:line="360" w:lineRule="auto"/>
        <w:ind w:firstLine="566" w:firstLineChars="236"/>
        <w:jc w:val="left"/>
        <w:rPr>
          <w:rFonts w:ascii="宋体" w:hAnsi="宋体"/>
          <w:sz w:val="24"/>
          <w:szCs w:val="24"/>
        </w:rPr>
      </w:pPr>
      <w:r>
        <w:rPr>
          <w:rFonts w:hint="eastAsia" w:ascii="宋体" w:hAnsi="宋体"/>
          <w:sz w:val="24"/>
          <w:szCs w:val="24"/>
        </w:rPr>
        <w:t>系统应支持新建多项发放业务，可对发放总人数、总金额、已发放人数、已发放金额等数据进行统计与查阅，同时提供发放人员明细查询及人员信息批量导入功能。</w:t>
      </w:r>
    </w:p>
    <w:p w14:paraId="1291A3C0">
      <w:pPr>
        <w:spacing w:line="360" w:lineRule="auto"/>
        <w:ind w:firstLine="566" w:firstLineChars="236"/>
        <w:jc w:val="left"/>
        <w:rPr>
          <w:rFonts w:ascii="宋体" w:hAnsi="宋体"/>
          <w:sz w:val="24"/>
          <w:szCs w:val="24"/>
        </w:rPr>
      </w:pPr>
      <w:r>
        <w:rPr>
          <w:rFonts w:hint="eastAsia" w:ascii="宋体" w:hAnsi="宋体"/>
          <w:sz w:val="24"/>
          <w:szCs w:val="24"/>
        </w:rPr>
        <w:t>（三）发放进程监控</w:t>
      </w:r>
    </w:p>
    <w:p w14:paraId="7843BC23">
      <w:pPr>
        <w:spacing w:line="360" w:lineRule="auto"/>
        <w:ind w:firstLine="566" w:firstLineChars="236"/>
        <w:jc w:val="left"/>
        <w:rPr>
          <w:rFonts w:ascii="宋体" w:hAnsi="宋体"/>
          <w:sz w:val="24"/>
          <w:szCs w:val="24"/>
        </w:rPr>
      </w:pPr>
      <w:r>
        <w:rPr>
          <w:rFonts w:hint="eastAsia" w:ascii="宋体" w:hAnsi="宋体"/>
          <w:sz w:val="24"/>
          <w:szCs w:val="24"/>
        </w:rPr>
        <w:t>系统应支持查询发放进程详情，方便管理人员把控整体发放情况，可查阅发放项目、业务名称以及应发人数、应发金额、已申请人数、已发放人数、已发放金额等关键信息。</w:t>
      </w:r>
    </w:p>
    <w:p w14:paraId="599589AE">
      <w:pPr>
        <w:spacing w:line="360" w:lineRule="auto"/>
        <w:ind w:firstLine="566" w:firstLineChars="236"/>
        <w:jc w:val="left"/>
        <w:rPr>
          <w:rFonts w:ascii="宋体" w:hAnsi="宋体"/>
          <w:sz w:val="24"/>
          <w:szCs w:val="24"/>
        </w:rPr>
      </w:pPr>
      <w:r>
        <w:rPr>
          <w:rFonts w:hint="eastAsia" w:ascii="宋体" w:hAnsi="宋体"/>
          <w:sz w:val="24"/>
          <w:szCs w:val="24"/>
        </w:rPr>
        <w:t>（四）发放渠道</w:t>
      </w:r>
    </w:p>
    <w:p w14:paraId="58CFBD23">
      <w:pPr>
        <w:spacing w:line="360" w:lineRule="auto"/>
        <w:ind w:firstLine="566" w:firstLineChars="236"/>
        <w:jc w:val="left"/>
        <w:rPr>
          <w:rFonts w:ascii="宋体" w:hAnsi="宋体"/>
          <w:sz w:val="24"/>
          <w:szCs w:val="24"/>
        </w:rPr>
      </w:pPr>
      <w:r>
        <w:rPr>
          <w:rFonts w:hint="eastAsia" w:ascii="宋体" w:hAnsi="宋体"/>
          <w:sz w:val="24"/>
          <w:szCs w:val="24"/>
        </w:rPr>
        <w:t>系统应支持学生自主完成个人收款账户信息的维护管理，资金发放渠道灵活多样，兼容支付宝、微信两种主流线上发放方式。</w:t>
      </w:r>
    </w:p>
    <w:p w14:paraId="3497DB41">
      <w:pPr>
        <w:spacing w:line="360" w:lineRule="auto"/>
        <w:ind w:firstLine="566" w:firstLineChars="236"/>
        <w:jc w:val="left"/>
        <w:rPr>
          <w:rFonts w:ascii="宋体" w:hAnsi="宋体"/>
          <w:sz w:val="24"/>
          <w:szCs w:val="24"/>
        </w:rPr>
      </w:pPr>
      <w:r>
        <w:rPr>
          <w:rFonts w:hint="eastAsia" w:ascii="宋体" w:hAnsi="宋体"/>
          <w:sz w:val="24"/>
          <w:szCs w:val="24"/>
        </w:rPr>
        <w:t>（五）发放账户校验</w:t>
      </w:r>
    </w:p>
    <w:p w14:paraId="40C329E6">
      <w:pPr>
        <w:spacing w:line="360" w:lineRule="auto"/>
        <w:ind w:firstLine="566" w:firstLineChars="236"/>
        <w:jc w:val="left"/>
        <w:rPr>
          <w:rFonts w:ascii="宋体" w:hAnsi="宋体"/>
          <w:sz w:val="24"/>
          <w:szCs w:val="24"/>
        </w:rPr>
      </w:pPr>
      <w:r>
        <w:rPr>
          <w:rFonts w:hint="eastAsia" w:ascii="宋体" w:hAnsi="宋体"/>
          <w:sz w:val="24"/>
          <w:szCs w:val="24"/>
        </w:rPr>
        <w:t>学生在用户端维护收款接收账户时，系统将自动对收款用户名与平台登记的学生用户名开展一致性校验，两项信息核验无误后方可完成账户维护操作。</w:t>
      </w:r>
    </w:p>
    <w:p w14:paraId="1A2B3BDE">
      <w:pPr>
        <w:spacing w:line="360" w:lineRule="auto"/>
        <w:ind w:firstLine="566" w:firstLineChars="236"/>
        <w:jc w:val="left"/>
        <w:rPr>
          <w:rFonts w:ascii="宋体" w:hAnsi="宋体"/>
          <w:sz w:val="24"/>
          <w:szCs w:val="24"/>
        </w:rPr>
      </w:pPr>
      <w:r>
        <w:rPr>
          <w:rFonts w:hint="eastAsia" w:ascii="宋体" w:hAnsi="宋体"/>
          <w:sz w:val="24"/>
          <w:szCs w:val="24"/>
        </w:rPr>
        <w:t>五、系统集成与对接要求</w:t>
      </w:r>
    </w:p>
    <w:p w14:paraId="07A468ED">
      <w:pPr>
        <w:spacing w:line="360" w:lineRule="auto"/>
        <w:ind w:firstLine="566" w:firstLineChars="236"/>
        <w:jc w:val="left"/>
        <w:rPr>
          <w:rFonts w:ascii="宋体" w:hAnsi="宋体"/>
          <w:sz w:val="24"/>
          <w:szCs w:val="24"/>
        </w:rPr>
      </w:pPr>
      <w:r>
        <w:rPr>
          <w:rFonts w:hint="eastAsia" w:ascii="宋体" w:hAnsi="宋体"/>
          <w:sz w:val="24"/>
          <w:szCs w:val="24"/>
        </w:rPr>
        <w:t>（一）系统间数据对接</w:t>
      </w:r>
    </w:p>
    <w:p w14:paraId="495A0531">
      <w:pPr>
        <w:spacing w:line="360" w:lineRule="auto"/>
        <w:ind w:firstLine="566" w:firstLineChars="236"/>
        <w:jc w:val="left"/>
        <w:rPr>
          <w:rFonts w:ascii="宋体" w:hAnsi="宋体"/>
          <w:sz w:val="24"/>
          <w:szCs w:val="24"/>
        </w:rPr>
      </w:pPr>
      <w:r>
        <w:rPr>
          <w:rFonts w:hint="eastAsia" w:ascii="宋体" w:hAnsi="宋体"/>
          <w:sz w:val="24"/>
          <w:szCs w:val="24"/>
        </w:rPr>
        <w:t>预算管理系统、网上报销系统与财务核算系统三者之间应实现有机联动，核心数据通过标准接口自动推送。具体要求如下：</w:t>
      </w:r>
    </w:p>
    <w:p w14:paraId="1D861261">
      <w:pPr>
        <w:spacing w:line="360" w:lineRule="auto"/>
        <w:ind w:firstLine="566" w:firstLineChars="236"/>
        <w:jc w:val="left"/>
        <w:rPr>
          <w:rFonts w:ascii="宋体" w:hAnsi="宋体"/>
          <w:sz w:val="24"/>
          <w:szCs w:val="24"/>
        </w:rPr>
      </w:pPr>
      <w:r>
        <w:rPr>
          <w:rFonts w:hint="eastAsia" w:ascii="宋体" w:hAnsi="宋体"/>
          <w:sz w:val="24"/>
          <w:szCs w:val="24"/>
        </w:rPr>
        <w:t>1. 预算管理系统与网上报销系统对接：</w:t>
      </w:r>
    </w:p>
    <w:p w14:paraId="3B7BC418">
      <w:pPr>
        <w:spacing w:line="360" w:lineRule="auto"/>
        <w:ind w:firstLine="569" w:firstLineChars="236"/>
        <w:jc w:val="left"/>
        <w:rPr>
          <w:rFonts w:ascii="宋体" w:hAnsi="宋体"/>
          <w:b/>
          <w:bCs/>
          <w:sz w:val="24"/>
          <w:szCs w:val="24"/>
        </w:rPr>
      </w:pPr>
      <w:r>
        <w:rPr>
          <w:rFonts w:hint="eastAsia" w:ascii="宋体" w:hAnsi="宋体"/>
          <w:b/>
          <w:bCs/>
          <w:sz w:val="24"/>
          <w:szCs w:val="24"/>
        </w:rPr>
        <w:t>对接要求</w:t>
      </w:r>
      <w:r>
        <w:rPr>
          <w:rFonts w:hint="eastAsia" w:ascii="宋体" w:hAnsi="宋体"/>
          <w:b/>
          <w:bCs/>
          <w:sz w:val="24"/>
          <w:szCs w:val="24"/>
        </w:rPr>
        <w:tab/>
      </w:r>
      <w:r>
        <w:rPr>
          <w:rFonts w:hint="eastAsia" w:ascii="宋体" w:hAnsi="宋体"/>
          <w:b/>
          <w:bCs/>
          <w:sz w:val="24"/>
          <w:szCs w:val="24"/>
        </w:rPr>
        <w:t xml:space="preserve">                  具体内容</w:t>
      </w:r>
    </w:p>
    <w:p w14:paraId="161E90AE">
      <w:pPr>
        <w:spacing w:line="360" w:lineRule="auto"/>
        <w:ind w:left="3616" w:leftChars="236" w:hanging="3120" w:hangingChars="1300"/>
        <w:jc w:val="left"/>
        <w:rPr>
          <w:rFonts w:ascii="宋体" w:hAnsi="宋体"/>
          <w:sz w:val="24"/>
          <w:szCs w:val="24"/>
        </w:rPr>
      </w:pPr>
      <w:r>
        <w:rPr>
          <w:rFonts w:hint="eastAsia" w:ascii="宋体" w:hAnsi="宋体"/>
          <w:sz w:val="24"/>
          <w:szCs w:val="24"/>
        </w:rPr>
        <w:t>预算科目同步</w:t>
      </w:r>
      <w:r>
        <w:rPr>
          <w:rFonts w:hint="eastAsia" w:ascii="宋体" w:hAnsi="宋体"/>
          <w:sz w:val="24"/>
          <w:szCs w:val="24"/>
        </w:rPr>
        <w:tab/>
      </w:r>
      <w:r>
        <w:rPr>
          <w:rFonts w:hint="eastAsia" w:ascii="宋体" w:hAnsi="宋体"/>
          <w:sz w:val="24"/>
          <w:szCs w:val="24"/>
        </w:rPr>
        <w:t>网上报销系统使用预算管理系统中的预算科目体系， 两个系统预算科目完全一致</w:t>
      </w:r>
    </w:p>
    <w:p w14:paraId="2DA13363">
      <w:pPr>
        <w:spacing w:line="360" w:lineRule="auto"/>
        <w:ind w:left="3856" w:leftChars="236" w:hanging="3360" w:hangingChars="1400"/>
        <w:jc w:val="left"/>
        <w:rPr>
          <w:rFonts w:ascii="宋体" w:hAnsi="宋体"/>
          <w:sz w:val="24"/>
          <w:szCs w:val="24"/>
        </w:rPr>
      </w:pPr>
      <w:r>
        <w:rPr>
          <w:rFonts w:hint="eastAsia" w:ascii="宋体" w:hAnsi="宋体"/>
          <w:sz w:val="24"/>
          <w:szCs w:val="24"/>
        </w:rPr>
        <w:t xml:space="preserve">预算余额实时校验          </w:t>
      </w:r>
      <w:r>
        <w:rPr>
          <w:rFonts w:hint="eastAsia" w:ascii="宋体" w:hAnsi="宋体"/>
          <w:sz w:val="24"/>
          <w:szCs w:val="24"/>
        </w:rPr>
        <w:tab/>
      </w:r>
      <w:r>
        <w:rPr>
          <w:rFonts w:hint="eastAsia" w:ascii="宋体" w:hAnsi="宋体"/>
          <w:sz w:val="24"/>
          <w:szCs w:val="24"/>
        </w:rPr>
        <w:t>报销提交时调用预算管理系统接口，实时校验预算科目可用余额</w:t>
      </w:r>
    </w:p>
    <w:p w14:paraId="1C3D1E14">
      <w:pPr>
        <w:spacing w:line="360" w:lineRule="auto"/>
        <w:ind w:left="3616" w:leftChars="236" w:hanging="3120" w:hangingChars="1300"/>
        <w:jc w:val="left"/>
        <w:rPr>
          <w:rFonts w:ascii="宋体" w:hAnsi="宋体"/>
          <w:sz w:val="24"/>
          <w:szCs w:val="24"/>
        </w:rPr>
      </w:pPr>
      <w:r>
        <w:rPr>
          <w:rFonts w:hint="eastAsia" w:ascii="宋体" w:hAnsi="宋体"/>
          <w:sz w:val="24"/>
          <w:szCs w:val="24"/>
        </w:rPr>
        <w:t>预算执行数据推送</w:t>
      </w:r>
      <w:r>
        <w:rPr>
          <w:rFonts w:hint="eastAsia" w:ascii="宋体" w:hAnsi="宋体"/>
          <w:sz w:val="24"/>
          <w:szCs w:val="24"/>
        </w:rPr>
        <w:tab/>
      </w:r>
      <w:r>
        <w:rPr>
          <w:rFonts w:hint="eastAsia" w:ascii="宋体" w:hAnsi="宋体"/>
          <w:sz w:val="24"/>
          <w:szCs w:val="24"/>
        </w:rPr>
        <w:t xml:space="preserve">  报销审批通过后，网上报销系统自动将执行数据推送至预算管理系统更新预算执行数</w:t>
      </w:r>
    </w:p>
    <w:p w14:paraId="6FB7B92F">
      <w:pPr>
        <w:spacing w:line="360" w:lineRule="auto"/>
        <w:ind w:left="3616" w:leftChars="236" w:hanging="3120" w:hangingChars="1300"/>
        <w:jc w:val="left"/>
        <w:rPr>
          <w:rFonts w:ascii="宋体" w:hAnsi="宋体"/>
          <w:sz w:val="24"/>
          <w:szCs w:val="24"/>
        </w:rPr>
      </w:pPr>
      <w:r>
        <w:rPr>
          <w:rFonts w:hint="eastAsia" w:ascii="宋体" w:hAnsi="宋体"/>
          <w:sz w:val="24"/>
          <w:szCs w:val="24"/>
        </w:rPr>
        <w:t xml:space="preserve">预算调整同步            </w:t>
      </w:r>
      <w:r>
        <w:rPr>
          <w:rFonts w:hint="eastAsia" w:ascii="宋体" w:hAnsi="宋体"/>
          <w:sz w:val="24"/>
          <w:szCs w:val="24"/>
        </w:rPr>
        <w:tab/>
      </w:r>
      <w:r>
        <w:rPr>
          <w:rFonts w:hint="eastAsia" w:ascii="宋体" w:hAnsi="宋体"/>
          <w:sz w:val="24"/>
          <w:szCs w:val="24"/>
        </w:rPr>
        <w:t>预算管理系统中预算指标调整后，网上报销系统实时同  步更新控制数据</w:t>
      </w:r>
    </w:p>
    <w:p w14:paraId="76482AB2">
      <w:pPr>
        <w:spacing w:line="360" w:lineRule="auto"/>
        <w:ind w:firstLine="566" w:firstLineChars="236"/>
        <w:jc w:val="left"/>
        <w:rPr>
          <w:rFonts w:ascii="宋体" w:hAnsi="宋体"/>
          <w:sz w:val="24"/>
          <w:szCs w:val="24"/>
        </w:rPr>
      </w:pPr>
      <w:r>
        <w:rPr>
          <w:rFonts w:hint="eastAsia" w:ascii="宋体" w:hAnsi="宋体"/>
          <w:sz w:val="24"/>
          <w:szCs w:val="24"/>
        </w:rPr>
        <w:t>2. 网上报销系统与财务核算系统对接：</w:t>
      </w:r>
    </w:p>
    <w:p w14:paraId="499ADAC9">
      <w:pPr>
        <w:spacing w:line="360" w:lineRule="auto"/>
        <w:ind w:firstLine="569" w:firstLineChars="236"/>
        <w:jc w:val="left"/>
        <w:rPr>
          <w:rFonts w:ascii="宋体" w:hAnsi="宋体"/>
          <w:b/>
          <w:bCs/>
          <w:sz w:val="24"/>
          <w:szCs w:val="24"/>
        </w:rPr>
      </w:pPr>
      <w:r>
        <w:rPr>
          <w:rFonts w:hint="eastAsia" w:ascii="宋体" w:hAnsi="宋体"/>
          <w:b/>
          <w:bCs/>
          <w:sz w:val="24"/>
          <w:szCs w:val="24"/>
        </w:rPr>
        <w:t>对接要求</w:t>
      </w:r>
      <w:r>
        <w:rPr>
          <w:rFonts w:hint="eastAsia" w:ascii="宋体" w:hAnsi="宋体"/>
          <w:b/>
          <w:bCs/>
          <w:sz w:val="24"/>
          <w:szCs w:val="24"/>
        </w:rPr>
        <w:tab/>
      </w:r>
      <w:r>
        <w:rPr>
          <w:rFonts w:hint="eastAsia" w:ascii="宋体" w:hAnsi="宋体"/>
          <w:b/>
          <w:bCs/>
          <w:sz w:val="24"/>
          <w:szCs w:val="24"/>
        </w:rPr>
        <w:t xml:space="preserve">                   具体内容</w:t>
      </w:r>
    </w:p>
    <w:p w14:paraId="54C82F0E">
      <w:pPr>
        <w:spacing w:line="360" w:lineRule="auto"/>
        <w:ind w:left="3616" w:leftChars="236" w:hanging="3120" w:hangingChars="1300"/>
        <w:jc w:val="left"/>
        <w:rPr>
          <w:rFonts w:ascii="宋体" w:hAnsi="宋体"/>
          <w:sz w:val="24"/>
          <w:szCs w:val="24"/>
        </w:rPr>
      </w:pPr>
      <w:r>
        <w:rPr>
          <w:rFonts w:hint="eastAsia" w:ascii="宋体" w:hAnsi="宋体"/>
          <w:sz w:val="24"/>
          <w:szCs w:val="24"/>
        </w:rPr>
        <w:t>推送字段完整性</w:t>
      </w:r>
      <w:r>
        <w:rPr>
          <w:rFonts w:hint="eastAsia" w:ascii="宋体" w:hAnsi="宋体"/>
          <w:sz w:val="24"/>
          <w:szCs w:val="24"/>
        </w:rPr>
        <w:tab/>
      </w:r>
      <w:r>
        <w:rPr>
          <w:rFonts w:hint="eastAsia" w:ascii="宋体" w:hAnsi="宋体"/>
          <w:sz w:val="24"/>
          <w:szCs w:val="24"/>
        </w:rPr>
        <w:t>报销信息推送时携带预算项目编码、预算科目编码、预算科目名称、 部门/项目、经济业务摘要、金额、报销人/部门、支付对象等字段</w:t>
      </w:r>
    </w:p>
    <w:p w14:paraId="1EC2045B">
      <w:pPr>
        <w:spacing w:line="360" w:lineRule="auto"/>
        <w:ind w:left="3376" w:leftChars="236" w:hanging="2880" w:hangingChars="1200"/>
        <w:jc w:val="left"/>
        <w:rPr>
          <w:rFonts w:ascii="宋体" w:hAnsi="宋体"/>
          <w:sz w:val="24"/>
          <w:szCs w:val="24"/>
        </w:rPr>
      </w:pPr>
      <w:r>
        <w:rPr>
          <w:rFonts w:hint="eastAsia" w:ascii="宋体" w:hAnsi="宋体"/>
          <w:sz w:val="24"/>
          <w:szCs w:val="24"/>
        </w:rPr>
        <w:t>预算科目-会计科目映射</w:t>
      </w:r>
      <w:r>
        <w:rPr>
          <w:rFonts w:hint="eastAsia" w:ascii="宋体" w:hAnsi="宋体"/>
          <w:sz w:val="24"/>
          <w:szCs w:val="24"/>
        </w:rPr>
        <w:tab/>
      </w:r>
      <w:r>
        <w:rPr>
          <w:rFonts w:hint="eastAsia" w:ascii="宋体" w:hAnsi="宋体"/>
          <w:sz w:val="24"/>
          <w:szCs w:val="24"/>
        </w:rPr>
        <w:t>会计核算系统根据预算科目+经济业务描述自动匹配会计科 目，实现自动制证</w:t>
      </w:r>
    </w:p>
    <w:p w14:paraId="142DC97D">
      <w:pPr>
        <w:spacing w:line="360" w:lineRule="auto"/>
        <w:ind w:left="3376" w:leftChars="236" w:hanging="2880" w:hangingChars="1200"/>
        <w:jc w:val="left"/>
        <w:rPr>
          <w:rFonts w:ascii="宋体" w:hAnsi="宋体"/>
          <w:sz w:val="24"/>
          <w:szCs w:val="24"/>
        </w:rPr>
      </w:pPr>
      <w:r>
        <w:rPr>
          <w:rFonts w:hint="eastAsia" w:ascii="宋体" w:hAnsi="宋体"/>
          <w:sz w:val="24"/>
          <w:szCs w:val="24"/>
        </w:rPr>
        <w:t xml:space="preserve">凭证回写            </w:t>
      </w:r>
      <w:r>
        <w:rPr>
          <w:rFonts w:hint="eastAsia" w:ascii="宋体" w:hAnsi="宋体"/>
          <w:sz w:val="24"/>
          <w:szCs w:val="24"/>
        </w:rPr>
        <w:tab/>
      </w:r>
      <w:r>
        <w:rPr>
          <w:rFonts w:hint="eastAsia" w:ascii="宋体" w:hAnsi="宋体"/>
          <w:sz w:val="24"/>
          <w:szCs w:val="24"/>
        </w:rPr>
        <w:t>财务核算系统完成制证后，凭证号自动回写至网上报销系统   和预算管理系统</w:t>
      </w:r>
    </w:p>
    <w:p w14:paraId="3B977D41">
      <w:pPr>
        <w:spacing w:line="360" w:lineRule="auto"/>
        <w:ind w:firstLine="566" w:firstLineChars="236"/>
        <w:jc w:val="left"/>
        <w:rPr>
          <w:rFonts w:ascii="宋体" w:hAnsi="宋体"/>
          <w:sz w:val="24"/>
          <w:szCs w:val="24"/>
        </w:rPr>
      </w:pPr>
      <w:r>
        <w:rPr>
          <w:rFonts w:hint="eastAsia" w:ascii="宋体" w:hAnsi="宋体"/>
          <w:sz w:val="24"/>
          <w:szCs w:val="24"/>
        </w:rPr>
        <w:t>对账功能</w:t>
      </w:r>
      <w:r>
        <w:rPr>
          <w:rFonts w:hint="eastAsia" w:ascii="宋体" w:hAnsi="宋体"/>
          <w:sz w:val="24"/>
          <w:szCs w:val="24"/>
        </w:rPr>
        <w:tab/>
      </w:r>
      <w:r>
        <w:rPr>
          <w:rFonts w:hint="eastAsia" w:ascii="宋体" w:hAnsi="宋体"/>
          <w:sz w:val="24"/>
          <w:szCs w:val="24"/>
        </w:rPr>
        <w:t xml:space="preserve">       定期自动核对三系统间数据一致性，发现差异自动生成差异报告</w:t>
      </w:r>
    </w:p>
    <w:p w14:paraId="3DACECF9">
      <w:pPr>
        <w:spacing w:line="360" w:lineRule="auto"/>
        <w:ind w:firstLine="566" w:firstLineChars="236"/>
        <w:jc w:val="left"/>
        <w:rPr>
          <w:rFonts w:ascii="宋体" w:hAnsi="宋体"/>
          <w:sz w:val="24"/>
          <w:szCs w:val="24"/>
        </w:rPr>
      </w:pPr>
      <w:r>
        <w:rPr>
          <w:rFonts w:hint="eastAsia" w:ascii="宋体" w:hAnsi="宋体"/>
          <w:sz w:val="24"/>
          <w:szCs w:val="24"/>
        </w:rPr>
        <w:t>系统对接应采用标准HTTP协议、符合REST规范的API接口，采用JSON格式（UTF-8）交换数据内容。所有接口访问均须进行用户身份验证，使用国密算法（SM4）对传输数据进行加密处理-。</w:t>
      </w:r>
    </w:p>
    <w:p w14:paraId="2E0BD570">
      <w:pPr>
        <w:spacing w:line="360" w:lineRule="auto"/>
        <w:ind w:firstLine="566" w:firstLineChars="236"/>
        <w:jc w:val="left"/>
        <w:rPr>
          <w:rFonts w:ascii="宋体" w:hAnsi="宋体"/>
          <w:sz w:val="24"/>
          <w:szCs w:val="24"/>
        </w:rPr>
      </w:pPr>
      <w:r>
        <w:rPr>
          <w:rFonts w:hint="eastAsia" w:ascii="宋体" w:hAnsi="宋体"/>
          <w:sz w:val="24"/>
          <w:szCs w:val="24"/>
        </w:rPr>
        <w:t>（二）与外部系统集成</w:t>
      </w:r>
    </w:p>
    <w:p w14:paraId="17080062">
      <w:pPr>
        <w:spacing w:line="360" w:lineRule="auto"/>
        <w:ind w:firstLine="566" w:firstLineChars="236"/>
        <w:jc w:val="left"/>
        <w:rPr>
          <w:rFonts w:ascii="宋体" w:hAnsi="宋体"/>
          <w:sz w:val="24"/>
          <w:szCs w:val="24"/>
        </w:rPr>
      </w:pPr>
      <w:r>
        <w:rPr>
          <w:rFonts w:hint="eastAsia" w:ascii="宋体" w:hAnsi="宋体"/>
          <w:sz w:val="24"/>
          <w:szCs w:val="24"/>
        </w:rPr>
        <w:t>系统应支持与学校统一身份认证系统、数据中台、短信平台等公共系统集成，必须免费开放数据接口并提供技术支持。应实现与人事系统（人员信息同步，我校现使用酷奇人事软件）、资产管理系统（设备采购与验收信息对接，我校现使用共创资产管理系统）、科研管理系统（科研项目经费管理，暂无，后期如上线管理系统也须承诺进行对接）、银校互联平台（资金支付）等系统的无缝集成。应支持与学校采购平台对接，实现采购申请、采购审批、到货验收、报销支付的全流程闭环管理。</w:t>
      </w:r>
    </w:p>
    <w:p w14:paraId="29036926">
      <w:pPr>
        <w:spacing w:line="360" w:lineRule="auto"/>
        <w:ind w:firstLine="566" w:firstLineChars="236"/>
        <w:jc w:val="left"/>
        <w:rPr>
          <w:rFonts w:ascii="宋体" w:hAnsi="宋体"/>
          <w:sz w:val="24"/>
          <w:szCs w:val="24"/>
        </w:rPr>
      </w:pPr>
      <w:r>
        <w:rPr>
          <w:rFonts w:hint="eastAsia" w:ascii="宋体" w:hAnsi="宋体"/>
          <w:sz w:val="24"/>
          <w:szCs w:val="24"/>
        </w:rPr>
        <w:t>（三）数据交换安全要求</w:t>
      </w:r>
    </w:p>
    <w:p w14:paraId="02E59D77">
      <w:pPr>
        <w:spacing w:line="360" w:lineRule="auto"/>
        <w:ind w:firstLine="566" w:firstLineChars="236"/>
        <w:jc w:val="left"/>
        <w:rPr>
          <w:rFonts w:ascii="宋体" w:hAnsi="宋体"/>
          <w:sz w:val="24"/>
          <w:szCs w:val="24"/>
        </w:rPr>
      </w:pPr>
      <w:r>
        <w:rPr>
          <w:rFonts w:hint="eastAsia" w:ascii="宋体" w:hAnsi="宋体"/>
          <w:sz w:val="24"/>
          <w:szCs w:val="24"/>
        </w:rPr>
        <w:t>系统间数据接口应采用身份认证机制保障访问安全，关键数据应采用国密算法进行加密传输。系统对接时应确保数据同步的准确性和一致性，定期进行对账校验。系统部署应采用B/S模式，支持混合式部署，适配学校国产化环境的服务器、中间件、数据库。</w:t>
      </w:r>
    </w:p>
    <w:p w14:paraId="3DD69CB9">
      <w:pPr>
        <w:spacing w:line="360" w:lineRule="auto"/>
        <w:ind w:firstLine="566" w:firstLineChars="236"/>
        <w:jc w:val="left"/>
        <w:rPr>
          <w:rFonts w:ascii="宋体" w:hAnsi="宋体"/>
          <w:sz w:val="24"/>
          <w:szCs w:val="24"/>
        </w:rPr>
      </w:pPr>
      <w:r>
        <w:rPr>
          <w:rFonts w:hint="eastAsia" w:ascii="宋体" w:hAnsi="宋体"/>
          <w:sz w:val="24"/>
          <w:szCs w:val="24"/>
        </w:rPr>
        <w:t>六、技术架构与安全要求</w:t>
      </w:r>
    </w:p>
    <w:p w14:paraId="6D472B6A">
      <w:pPr>
        <w:spacing w:line="360" w:lineRule="auto"/>
        <w:ind w:firstLine="566" w:firstLineChars="236"/>
        <w:jc w:val="left"/>
        <w:rPr>
          <w:rFonts w:ascii="宋体" w:hAnsi="宋体"/>
          <w:sz w:val="24"/>
          <w:szCs w:val="24"/>
        </w:rPr>
      </w:pPr>
      <w:r>
        <w:rPr>
          <w:rFonts w:hint="eastAsia" w:ascii="宋体" w:hAnsi="宋体"/>
          <w:sz w:val="24"/>
          <w:szCs w:val="24"/>
        </w:rPr>
        <w:t>（一）技术架构</w:t>
      </w:r>
    </w:p>
    <w:p w14:paraId="5E5979EB">
      <w:pPr>
        <w:spacing w:line="360" w:lineRule="auto"/>
        <w:ind w:firstLine="566" w:firstLineChars="236"/>
        <w:jc w:val="left"/>
        <w:rPr>
          <w:rFonts w:ascii="宋体" w:hAnsi="宋体"/>
          <w:sz w:val="24"/>
          <w:szCs w:val="24"/>
        </w:rPr>
      </w:pPr>
      <w:r>
        <w:rPr>
          <w:rFonts w:hint="eastAsia" w:ascii="宋体" w:hAnsi="宋体"/>
          <w:sz w:val="24"/>
          <w:szCs w:val="24"/>
        </w:rPr>
        <w:t>系统采用B/S架构，支持主流浏览器访问。应采用成熟、先进、稳定的技术路线，支持高并发访问，系统响应时间为秒级。系统应支持PC端和移动端（APP/小程序）同步使用。系统所采用的技术路线应充分支持学校数字化校园特点和应用需求，同时考虑到系统的总体拥有成本-。系统应符合和遵守学校制定的信息化相关标准要求，规范地进行业务数据的采集与交换-。</w:t>
      </w:r>
    </w:p>
    <w:p w14:paraId="29A70251">
      <w:pPr>
        <w:spacing w:line="360" w:lineRule="auto"/>
        <w:ind w:firstLine="566" w:firstLineChars="236"/>
        <w:jc w:val="left"/>
        <w:rPr>
          <w:rFonts w:ascii="宋体" w:hAnsi="宋体"/>
          <w:sz w:val="24"/>
          <w:szCs w:val="24"/>
        </w:rPr>
      </w:pPr>
      <w:r>
        <w:rPr>
          <w:rFonts w:hint="eastAsia" w:ascii="宋体" w:hAnsi="宋体"/>
          <w:sz w:val="24"/>
          <w:szCs w:val="24"/>
        </w:rPr>
        <w:t>（二）安全要求</w:t>
      </w:r>
    </w:p>
    <w:p w14:paraId="07109E05">
      <w:pPr>
        <w:spacing w:line="360" w:lineRule="auto"/>
        <w:ind w:firstLine="566" w:firstLineChars="236"/>
        <w:jc w:val="left"/>
        <w:rPr>
          <w:rFonts w:ascii="宋体" w:hAnsi="宋体"/>
          <w:sz w:val="24"/>
          <w:szCs w:val="24"/>
        </w:rPr>
      </w:pPr>
      <w:r>
        <w:rPr>
          <w:rFonts w:hint="eastAsia" w:ascii="宋体" w:hAnsi="宋体"/>
          <w:sz w:val="24"/>
          <w:szCs w:val="24"/>
        </w:rPr>
        <w:t>系统应满足信息安全等级保护二级及以上要求，支持国产软硬件环境（操作系统、CPU、数据库等）。系统应提供事务监控手段和有效系统运行日志管理功能，平台设计应具有高稳定性，具有良好运行保障体系，确保在正常访问使用过程中能够稳定、可靠地进行业务数据处理，提供故障恢复手段确保系统的稳定性-。</w:t>
      </w:r>
    </w:p>
    <w:p w14:paraId="238AC8F6">
      <w:pPr>
        <w:spacing w:line="360" w:lineRule="auto"/>
        <w:ind w:firstLine="566" w:firstLineChars="236"/>
        <w:jc w:val="left"/>
        <w:rPr>
          <w:rFonts w:ascii="宋体" w:hAnsi="宋体"/>
          <w:sz w:val="24"/>
          <w:szCs w:val="24"/>
        </w:rPr>
      </w:pPr>
      <w:r>
        <w:rPr>
          <w:rFonts w:hint="eastAsia" w:ascii="宋体" w:hAnsi="宋体"/>
          <w:sz w:val="24"/>
          <w:szCs w:val="24"/>
        </w:rPr>
        <w:t>（三）可扩展性</w:t>
      </w:r>
    </w:p>
    <w:p w14:paraId="1E4C401D">
      <w:pPr>
        <w:spacing w:line="360" w:lineRule="auto"/>
        <w:ind w:firstLine="566" w:firstLineChars="236"/>
        <w:jc w:val="left"/>
        <w:rPr>
          <w:rFonts w:ascii="宋体" w:hAnsi="宋体"/>
          <w:sz w:val="24"/>
          <w:szCs w:val="24"/>
        </w:rPr>
      </w:pPr>
      <w:r>
        <w:rPr>
          <w:rFonts w:hint="eastAsia" w:ascii="宋体" w:hAnsi="宋体"/>
          <w:sz w:val="24"/>
          <w:szCs w:val="24"/>
        </w:rPr>
        <w:t>系统应满足财务业务未来扩展需求，保证系统接口开放性与可扩展性。系统应支持模块化设计，后续可根据需要增加电子档案管理、合同管理、资产管理等功能模块。系统设计应为后续全校财务数字化转型预留接口和扩展空间。</w:t>
      </w:r>
    </w:p>
    <w:p w14:paraId="6E445B98">
      <w:pPr>
        <w:spacing w:line="360" w:lineRule="auto"/>
        <w:ind w:firstLine="566" w:firstLineChars="236"/>
        <w:jc w:val="left"/>
        <w:rPr>
          <w:rFonts w:ascii="宋体" w:hAnsi="宋体"/>
          <w:sz w:val="24"/>
          <w:szCs w:val="24"/>
        </w:rPr>
      </w:pPr>
      <w:r>
        <w:rPr>
          <w:rFonts w:hint="eastAsia" w:ascii="宋体" w:hAnsi="宋体"/>
          <w:sz w:val="24"/>
          <w:szCs w:val="24"/>
        </w:rPr>
        <w:t>七、民办高校特殊功能需求</w:t>
      </w:r>
    </w:p>
    <w:p w14:paraId="4F7AC5DC">
      <w:pPr>
        <w:spacing w:line="360" w:lineRule="auto"/>
        <w:ind w:firstLine="566" w:firstLineChars="236"/>
        <w:jc w:val="left"/>
        <w:rPr>
          <w:rFonts w:ascii="宋体" w:hAnsi="宋体"/>
          <w:sz w:val="24"/>
          <w:szCs w:val="24"/>
        </w:rPr>
      </w:pPr>
      <w:r>
        <w:rPr>
          <w:rFonts w:hint="eastAsia" w:ascii="宋体" w:hAnsi="宋体"/>
          <w:sz w:val="24"/>
          <w:szCs w:val="24"/>
        </w:rPr>
        <w:t>基于民办高校财务管理的特点，预算管理科目能够实现版主设置，另系统还应满足以下特殊功能需求：</w:t>
      </w:r>
    </w:p>
    <w:p w14:paraId="34057B7D">
      <w:pPr>
        <w:spacing w:line="360" w:lineRule="auto"/>
        <w:ind w:firstLine="566" w:firstLineChars="236"/>
        <w:jc w:val="left"/>
        <w:rPr>
          <w:rFonts w:ascii="宋体" w:hAnsi="宋体"/>
          <w:sz w:val="24"/>
          <w:szCs w:val="24"/>
        </w:rPr>
      </w:pPr>
      <w:r>
        <w:rPr>
          <w:rFonts w:hint="eastAsia" w:ascii="宋体" w:hAnsi="宋体"/>
          <w:sz w:val="24"/>
          <w:szCs w:val="24"/>
        </w:rPr>
        <w:t>（一）系部留成经费管理</w:t>
      </w:r>
    </w:p>
    <w:p w14:paraId="515F39D5">
      <w:pPr>
        <w:spacing w:line="360" w:lineRule="auto"/>
        <w:ind w:firstLine="566" w:firstLineChars="236"/>
        <w:jc w:val="left"/>
        <w:rPr>
          <w:rFonts w:ascii="宋体" w:hAnsi="宋体"/>
          <w:sz w:val="24"/>
          <w:szCs w:val="24"/>
        </w:rPr>
      </w:pPr>
      <w:r>
        <w:rPr>
          <w:rFonts w:hint="eastAsia" w:ascii="宋体" w:hAnsi="宋体"/>
          <w:sz w:val="24"/>
          <w:szCs w:val="24"/>
        </w:rPr>
        <w:t>支出端建立“系部留成经费”专项科目，下设项目运行费、教育教学发展经费、奖励性绩效、师生活动费、发展基金等自设的二级科目。系统应实现留成经费的专项核算和预算控制。</w:t>
      </w:r>
    </w:p>
    <w:p w14:paraId="4D3A8EE6">
      <w:pPr>
        <w:spacing w:line="360" w:lineRule="auto"/>
        <w:ind w:firstLine="566" w:firstLineChars="236"/>
        <w:jc w:val="left"/>
        <w:rPr>
          <w:rFonts w:ascii="宋体" w:hAnsi="宋体"/>
          <w:sz w:val="24"/>
          <w:szCs w:val="24"/>
        </w:rPr>
      </w:pPr>
      <w:r>
        <w:rPr>
          <w:rFonts w:hint="eastAsia" w:ascii="宋体" w:hAnsi="宋体"/>
          <w:sz w:val="24"/>
          <w:szCs w:val="24"/>
        </w:rPr>
        <w:t>（二）科研经费分层管理</w:t>
      </w:r>
    </w:p>
    <w:p w14:paraId="5A88E452">
      <w:pPr>
        <w:spacing w:line="360" w:lineRule="auto"/>
        <w:ind w:firstLine="566" w:firstLineChars="236"/>
        <w:jc w:val="left"/>
        <w:rPr>
          <w:rFonts w:ascii="宋体" w:hAnsi="宋体"/>
          <w:sz w:val="24"/>
          <w:szCs w:val="24"/>
        </w:rPr>
      </w:pPr>
      <w:r>
        <w:rPr>
          <w:rFonts w:hint="eastAsia" w:ascii="宋体" w:hAnsi="宋体"/>
          <w:sz w:val="24"/>
          <w:szCs w:val="24"/>
        </w:rPr>
        <w:t>系统应实现科研经费的分类分层管理。校外纵向课题（财政类）收入归入“科研事业收入—纵向科研收入”，支出在“科研事业支出—纵向科研项目支出”专项科目中按主管部门预算批复专款专用。校外横向课题（企业委托/技术合同）收入归入“科研事业收入—横向科研收入”，支出在“科研事业支出—横向科研项目支出”专项科目中按合同和学校科研管理办法执行。学校配套经费及校级自筹科研项目归入“科研经费”日常预算科目管理，不设支出上限。</w:t>
      </w:r>
    </w:p>
    <w:p w14:paraId="50AC04AA">
      <w:pPr>
        <w:spacing w:line="360" w:lineRule="auto"/>
        <w:ind w:firstLine="566" w:firstLineChars="236"/>
        <w:jc w:val="left"/>
        <w:rPr>
          <w:rFonts w:ascii="宋体" w:hAnsi="宋体"/>
          <w:sz w:val="24"/>
          <w:szCs w:val="24"/>
        </w:rPr>
      </w:pPr>
      <w:r>
        <w:rPr>
          <w:rFonts w:hint="eastAsia" w:ascii="宋体" w:hAnsi="宋体"/>
          <w:sz w:val="24"/>
          <w:szCs w:val="24"/>
        </w:rPr>
        <w:t>（三）财政专项资金监管</w:t>
      </w:r>
    </w:p>
    <w:p w14:paraId="723BD6A8">
      <w:pPr>
        <w:spacing w:line="360" w:lineRule="auto"/>
        <w:ind w:firstLine="566" w:firstLineChars="236"/>
        <w:jc w:val="left"/>
        <w:rPr>
          <w:rFonts w:ascii="宋体" w:hAnsi="宋体"/>
          <w:sz w:val="24"/>
          <w:szCs w:val="24"/>
        </w:rPr>
      </w:pPr>
      <w:r>
        <w:rPr>
          <w:rFonts w:hint="eastAsia" w:ascii="宋体" w:hAnsi="宋体"/>
          <w:sz w:val="24"/>
          <w:szCs w:val="24"/>
        </w:rPr>
        <w:t>系统应支持将财政补助资金纳入“财政补助资金专用监管账户”专项核算，收入端按资金性质分类（基本支出补助、项目支出补助、学生资助补助、科研项目补助）进行专项管理，支出端与“财政补助支出”科目对应，确保专款专用、全额列支。系统应支持财政专项资金的使用进度监控和绩效评价。</w:t>
      </w:r>
    </w:p>
    <w:p w14:paraId="7CA6D042">
      <w:pPr>
        <w:spacing w:line="360" w:lineRule="auto"/>
        <w:ind w:firstLine="566" w:firstLineChars="236"/>
        <w:jc w:val="left"/>
        <w:rPr>
          <w:rFonts w:ascii="宋体" w:hAnsi="宋体"/>
          <w:sz w:val="24"/>
          <w:szCs w:val="24"/>
        </w:rPr>
      </w:pPr>
      <w:r>
        <w:rPr>
          <w:rFonts w:hint="eastAsia" w:ascii="宋体" w:hAnsi="宋体"/>
          <w:sz w:val="24"/>
          <w:szCs w:val="24"/>
        </w:rPr>
        <w:t>（四）预算结转结余管理</w:t>
      </w:r>
    </w:p>
    <w:p w14:paraId="26905D1A">
      <w:pPr>
        <w:spacing w:line="360" w:lineRule="auto"/>
        <w:ind w:firstLine="566" w:firstLineChars="236"/>
        <w:jc w:val="left"/>
        <w:rPr>
          <w:rFonts w:ascii="宋体" w:hAnsi="宋体"/>
          <w:sz w:val="24"/>
          <w:szCs w:val="24"/>
        </w:rPr>
      </w:pPr>
      <w:r>
        <w:rPr>
          <w:rFonts w:hint="eastAsia" w:ascii="宋体" w:hAnsi="宋体"/>
          <w:sz w:val="24"/>
          <w:szCs w:val="24"/>
        </w:rPr>
        <w:t>系统应实现预算年度末结转结余的自动处理。基本支出和日常公用支出结余按学校统一规则清零或按比例上缴；专项经费结余按资金来源和项目性质区分处理（财政专项按规定收回或结转、校级专项由学校统筹），系统支持自动计算结余金额并生成结转方案。</w:t>
      </w:r>
    </w:p>
    <w:p w14:paraId="0B50824B">
      <w:pPr>
        <w:spacing w:line="360" w:lineRule="auto"/>
        <w:ind w:firstLine="566" w:firstLineChars="236"/>
        <w:jc w:val="left"/>
        <w:rPr>
          <w:rFonts w:ascii="宋体" w:hAnsi="宋体"/>
          <w:sz w:val="24"/>
          <w:szCs w:val="24"/>
        </w:rPr>
      </w:pPr>
      <w:r>
        <w:rPr>
          <w:rFonts w:hint="eastAsia" w:ascii="宋体" w:hAnsi="宋体"/>
          <w:sz w:val="24"/>
          <w:szCs w:val="24"/>
        </w:rPr>
        <w:t>（五）预算年度完整性</w:t>
      </w:r>
    </w:p>
    <w:p w14:paraId="2AA3348A">
      <w:pPr>
        <w:spacing w:line="360" w:lineRule="auto"/>
        <w:ind w:firstLine="566" w:firstLineChars="236"/>
        <w:jc w:val="left"/>
        <w:rPr>
          <w:rFonts w:ascii="宋体" w:hAnsi="宋体"/>
          <w:sz w:val="24"/>
          <w:szCs w:val="24"/>
        </w:rPr>
      </w:pPr>
      <w:r>
        <w:rPr>
          <w:rFonts w:hint="eastAsia" w:ascii="宋体" w:hAnsi="宋体"/>
          <w:sz w:val="24"/>
          <w:szCs w:val="24"/>
        </w:rPr>
        <w:t>系统预算管控周期应实现跨年度自动衔接，收入预算以当年12月31日为截止日，支出预算覆盖当年全年支出。预算年度内的预算调整和追加应支持按季度申报审批，跨年度滚动的专项项目（如课程与专业建设专项、大型设备采购、基建工程等）支持多年度预算额度分期控制。</w:t>
      </w:r>
    </w:p>
    <w:p w14:paraId="52235BF0">
      <w:pPr>
        <w:spacing w:line="360" w:lineRule="auto"/>
        <w:ind w:firstLine="566" w:firstLineChars="236"/>
        <w:jc w:val="left"/>
        <w:rPr>
          <w:rFonts w:ascii="宋体" w:hAnsi="宋体"/>
          <w:sz w:val="24"/>
          <w:szCs w:val="24"/>
        </w:rPr>
      </w:pPr>
      <w:r>
        <w:rPr>
          <w:rFonts w:hint="eastAsia" w:ascii="宋体" w:hAnsi="宋体"/>
          <w:sz w:val="24"/>
          <w:szCs w:val="24"/>
        </w:rPr>
        <w:t>八、售后服务与质保要求</w:t>
      </w:r>
    </w:p>
    <w:p w14:paraId="318ADCCE">
      <w:pPr>
        <w:spacing w:line="360" w:lineRule="auto"/>
        <w:ind w:firstLine="566" w:firstLineChars="236"/>
        <w:jc w:val="left"/>
        <w:rPr>
          <w:rFonts w:ascii="宋体" w:hAnsi="宋体"/>
          <w:sz w:val="24"/>
          <w:szCs w:val="24"/>
        </w:rPr>
      </w:pPr>
      <w:r>
        <w:rPr>
          <w:rFonts w:hint="eastAsia" w:ascii="宋体" w:hAnsi="宋体"/>
          <w:sz w:val="24"/>
          <w:szCs w:val="24"/>
        </w:rPr>
        <w:t>供应商应提供安装、部署、调试及用户培训服务，确保系统顺利上线运行。提供完整的系统使用手册和二次开发接口文档。质保期不少于5年，质保期内提供7×24小时电话、网络等远程支持服务及上门维护支持服务，包括技术支持、日常巡检、故障排除、系统升级、功能后期细微优化或改进。质保期满后供应商应保证以优惠价格提供所需配件及维护服务，并在投标书中详细描述维护服务内容与费用。</w:t>
      </w:r>
    </w:p>
    <w:p w14:paraId="3745A3C7">
      <w:pPr>
        <w:spacing w:line="360" w:lineRule="auto"/>
        <w:ind w:firstLine="566" w:firstLineChars="236"/>
        <w:jc w:val="left"/>
        <w:rPr>
          <w:rFonts w:ascii="宋体" w:hAnsi="宋体"/>
          <w:sz w:val="24"/>
          <w:szCs w:val="24"/>
        </w:rPr>
      </w:pPr>
      <w:r>
        <w:rPr>
          <w:rFonts w:hint="eastAsia" w:ascii="宋体" w:hAnsi="宋体"/>
          <w:sz w:val="24"/>
          <w:szCs w:val="24"/>
        </w:rPr>
        <w:t>供应商应提供全面的人员培训计划，至少包括系统管理员培训（系统配置与运维管理）和普通用户培训（报销申请与审批操作）。培训应采用集中培训、现场指导、操作手册、在线帮助文档等多种形式，确保各二级单位用户能够熟练使用系统。</w:t>
      </w:r>
    </w:p>
    <w:p w14:paraId="05A8D413">
      <w:pPr>
        <w:spacing w:line="360" w:lineRule="auto"/>
        <w:ind w:firstLine="566" w:firstLineChars="236"/>
        <w:jc w:val="left"/>
        <w:rPr>
          <w:rFonts w:ascii="宋体" w:hAnsi="宋体"/>
          <w:sz w:val="24"/>
          <w:szCs w:val="24"/>
        </w:rPr>
      </w:pPr>
      <w:r>
        <w:rPr>
          <w:rFonts w:hint="eastAsia" w:ascii="宋体" w:hAnsi="宋体"/>
          <w:sz w:val="24"/>
          <w:szCs w:val="24"/>
        </w:rPr>
        <w:t>九、非功能性需求</w:t>
      </w:r>
    </w:p>
    <w:p w14:paraId="38DC9B05">
      <w:pPr>
        <w:spacing w:line="360" w:lineRule="auto"/>
        <w:ind w:firstLine="566" w:firstLineChars="236"/>
        <w:jc w:val="left"/>
        <w:rPr>
          <w:rFonts w:ascii="宋体" w:hAnsi="宋体"/>
          <w:sz w:val="24"/>
          <w:szCs w:val="24"/>
        </w:rPr>
      </w:pPr>
      <w:r>
        <w:rPr>
          <w:rFonts w:hint="eastAsia" w:ascii="宋体" w:hAnsi="宋体"/>
          <w:sz w:val="24"/>
          <w:szCs w:val="24"/>
        </w:rPr>
        <w:t>（一）性能要求</w:t>
      </w:r>
    </w:p>
    <w:p w14:paraId="0233D88D">
      <w:pPr>
        <w:spacing w:line="360" w:lineRule="auto"/>
        <w:ind w:firstLine="566" w:firstLineChars="236"/>
        <w:jc w:val="left"/>
        <w:rPr>
          <w:rFonts w:ascii="宋体" w:hAnsi="宋体"/>
          <w:sz w:val="24"/>
          <w:szCs w:val="24"/>
        </w:rPr>
      </w:pPr>
      <w:r>
        <w:rPr>
          <w:rFonts w:hint="eastAsia" w:ascii="宋体" w:hAnsi="宋体"/>
          <w:sz w:val="24"/>
          <w:szCs w:val="24"/>
        </w:rPr>
        <w:t xml:space="preserve">指标        </w:t>
      </w:r>
      <w:r>
        <w:rPr>
          <w:rFonts w:hint="eastAsia" w:ascii="宋体" w:hAnsi="宋体"/>
          <w:sz w:val="24"/>
          <w:szCs w:val="24"/>
        </w:rPr>
        <w:tab/>
      </w:r>
      <w:r>
        <w:rPr>
          <w:rFonts w:hint="eastAsia" w:ascii="宋体" w:hAnsi="宋体"/>
          <w:sz w:val="24"/>
          <w:szCs w:val="24"/>
        </w:rPr>
        <w:t xml:space="preserve">        要求</w:t>
      </w:r>
    </w:p>
    <w:p w14:paraId="1A074283">
      <w:pPr>
        <w:spacing w:line="360" w:lineRule="auto"/>
        <w:ind w:firstLine="566" w:firstLineChars="236"/>
        <w:jc w:val="left"/>
        <w:rPr>
          <w:rFonts w:ascii="宋体" w:hAnsi="宋体"/>
          <w:sz w:val="24"/>
          <w:szCs w:val="24"/>
        </w:rPr>
      </w:pPr>
      <w:r>
        <w:rPr>
          <w:rFonts w:hint="eastAsia" w:ascii="宋体" w:hAnsi="宋体"/>
          <w:sz w:val="24"/>
          <w:szCs w:val="24"/>
        </w:rPr>
        <w:t>并发用户支持</w:t>
      </w:r>
      <w:r>
        <w:rPr>
          <w:rFonts w:hint="eastAsia" w:ascii="宋体" w:hAnsi="宋体"/>
          <w:sz w:val="24"/>
          <w:szCs w:val="24"/>
        </w:rPr>
        <w:tab/>
      </w:r>
      <w:r>
        <w:rPr>
          <w:rFonts w:hint="eastAsia" w:ascii="宋体" w:hAnsi="宋体"/>
          <w:sz w:val="24"/>
          <w:szCs w:val="24"/>
        </w:rPr>
        <w:t xml:space="preserve">       支持最大10000人并发访问</w:t>
      </w:r>
    </w:p>
    <w:p w14:paraId="238F524B">
      <w:pPr>
        <w:spacing w:line="360" w:lineRule="auto"/>
        <w:ind w:firstLine="566" w:firstLineChars="236"/>
        <w:jc w:val="left"/>
        <w:rPr>
          <w:rFonts w:ascii="宋体" w:hAnsi="宋体"/>
          <w:sz w:val="24"/>
          <w:szCs w:val="24"/>
        </w:rPr>
      </w:pPr>
      <w:r>
        <w:rPr>
          <w:rFonts w:hint="eastAsia" w:ascii="宋体" w:hAnsi="宋体"/>
          <w:sz w:val="24"/>
          <w:szCs w:val="24"/>
        </w:rPr>
        <w:t xml:space="preserve">页面响应时间     </w:t>
      </w:r>
      <w:r>
        <w:rPr>
          <w:rFonts w:hint="eastAsia" w:ascii="宋体" w:hAnsi="宋体"/>
          <w:sz w:val="24"/>
          <w:szCs w:val="24"/>
        </w:rPr>
        <w:tab/>
      </w:r>
      <w:r>
        <w:rPr>
          <w:rFonts w:hint="eastAsia" w:ascii="宋体" w:hAnsi="宋体"/>
          <w:sz w:val="24"/>
          <w:szCs w:val="24"/>
        </w:rPr>
        <w:t>平均响应时间≤3秒，复杂查询≤5秒</w:t>
      </w:r>
    </w:p>
    <w:p w14:paraId="4C54C24A">
      <w:pPr>
        <w:spacing w:line="360" w:lineRule="auto"/>
        <w:ind w:firstLine="566" w:firstLineChars="236"/>
        <w:jc w:val="left"/>
        <w:rPr>
          <w:rFonts w:ascii="宋体" w:hAnsi="宋体"/>
          <w:sz w:val="24"/>
          <w:szCs w:val="24"/>
        </w:rPr>
      </w:pPr>
      <w:r>
        <w:rPr>
          <w:rFonts w:hint="eastAsia" w:ascii="宋体" w:hAnsi="宋体"/>
          <w:sz w:val="24"/>
          <w:szCs w:val="24"/>
        </w:rPr>
        <w:t>系统可用性</w:t>
      </w:r>
      <w:r>
        <w:rPr>
          <w:rFonts w:hint="eastAsia" w:ascii="宋体" w:hAnsi="宋体"/>
          <w:sz w:val="24"/>
          <w:szCs w:val="24"/>
        </w:rPr>
        <w:tab/>
      </w:r>
      <w:r>
        <w:rPr>
          <w:rFonts w:hint="eastAsia" w:ascii="宋体" w:hAnsi="宋体"/>
          <w:sz w:val="24"/>
          <w:szCs w:val="24"/>
        </w:rPr>
        <w:t xml:space="preserve">       7×24小时服务，年可用率≥99.5%</w:t>
      </w:r>
    </w:p>
    <w:p w14:paraId="6AAE6FD1">
      <w:pPr>
        <w:spacing w:line="360" w:lineRule="auto"/>
        <w:ind w:firstLine="566" w:firstLineChars="236"/>
        <w:jc w:val="left"/>
        <w:rPr>
          <w:rFonts w:ascii="宋体" w:hAnsi="宋体"/>
          <w:sz w:val="24"/>
          <w:szCs w:val="24"/>
        </w:rPr>
      </w:pPr>
      <w:r>
        <w:rPr>
          <w:rFonts w:hint="eastAsia" w:ascii="宋体" w:hAnsi="宋体"/>
          <w:sz w:val="24"/>
          <w:szCs w:val="24"/>
        </w:rPr>
        <w:t>数据同步延迟</w:t>
      </w:r>
      <w:r>
        <w:rPr>
          <w:rFonts w:hint="eastAsia" w:ascii="宋体" w:hAnsi="宋体"/>
          <w:sz w:val="24"/>
          <w:szCs w:val="24"/>
        </w:rPr>
        <w:tab/>
      </w:r>
      <w:r>
        <w:rPr>
          <w:rFonts w:hint="eastAsia" w:ascii="宋体" w:hAnsi="宋体"/>
          <w:sz w:val="24"/>
          <w:szCs w:val="24"/>
        </w:rPr>
        <w:t xml:space="preserve">       预算执行数据推送延迟≤30秒</w:t>
      </w:r>
    </w:p>
    <w:p w14:paraId="41048416">
      <w:pPr>
        <w:spacing w:line="360" w:lineRule="auto"/>
        <w:ind w:firstLine="566" w:firstLineChars="236"/>
        <w:jc w:val="left"/>
        <w:rPr>
          <w:rFonts w:ascii="宋体" w:hAnsi="宋体"/>
          <w:sz w:val="24"/>
          <w:szCs w:val="24"/>
        </w:rPr>
      </w:pPr>
      <w:r>
        <w:rPr>
          <w:rFonts w:hint="eastAsia" w:ascii="宋体" w:hAnsi="宋体"/>
          <w:sz w:val="24"/>
          <w:szCs w:val="24"/>
        </w:rPr>
        <w:t>系统应具备在较长时间内连续无故障的运行能力，经过完善的设计和充分的测试运行方可上线-。</w:t>
      </w:r>
    </w:p>
    <w:p w14:paraId="654C0DB1">
      <w:pPr>
        <w:spacing w:line="360" w:lineRule="auto"/>
        <w:ind w:firstLine="566" w:firstLineChars="236"/>
        <w:jc w:val="left"/>
        <w:rPr>
          <w:rFonts w:ascii="宋体" w:hAnsi="宋体"/>
          <w:sz w:val="24"/>
          <w:szCs w:val="24"/>
        </w:rPr>
      </w:pPr>
      <w:r>
        <w:rPr>
          <w:rFonts w:hint="eastAsia" w:ascii="宋体" w:hAnsi="宋体"/>
          <w:sz w:val="24"/>
          <w:szCs w:val="24"/>
        </w:rPr>
        <w:t>（二）可靠性要求</w:t>
      </w:r>
    </w:p>
    <w:p w14:paraId="31B62701">
      <w:pPr>
        <w:spacing w:line="360" w:lineRule="auto"/>
        <w:ind w:firstLine="566" w:firstLineChars="236"/>
        <w:jc w:val="left"/>
        <w:rPr>
          <w:rFonts w:ascii="宋体" w:hAnsi="宋体"/>
          <w:sz w:val="24"/>
          <w:szCs w:val="24"/>
        </w:rPr>
      </w:pPr>
      <w:r>
        <w:rPr>
          <w:rFonts w:hint="eastAsia" w:ascii="宋体" w:hAnsi="宋体"/>
          <w:sz w:val="24"/>
          <w:szCs w:val="24"/>
        </w:rPr>
        <w:t>系统应提供事务监控手段，具备有效系统运行日志管理功能；平台设计应具有高稳定性，具有良好运行保障体系，确保在正常的访问使用过程中能够稳定、可靠地进行业务数据处理，提供故障恢复手段，确保系统的稳定性-。</w:t>
      </w:r>
    </w:p>
    <w:p w14:paraId="340313D3">
      <w:pPr>
        <w:spacing w:line="360" w:lineRule="auto"/>
        <w:ind w:firstLine="566" w:firstLineChars="236"/>
        <w:jc w:val="left"/>
        <w:rPr>
          <w:rFonts w:ascii="宋体" w:hAnsi="宋体"/>
          <w:sz w:val="24"/>
          <w:szCs w:val="24"/>
        </w:rPr>
      </w:pPr>
      <w:r>
        <w:rPr>
          <w:rFonts w:hint="eastAsia" w:ascii="宋体" w:hAnsi="宋体"/>
          <w:sz w:val="24"/>
          <w:szCs w:val="24"/>
        </w:rPr>
        <w:t>十、其他</w:t>
      </w:r>
    </w:p>
    <w:p w14:paraId="238B03A9">
      <w:pPr>
        <w:spacing w:line="360" w:lineRule="auto"/>
        <w:ind w:firstLine="566" w:firstLineChars="236"/>
        <w:jc w:val="left"/>
        <w:rPr>
          <w:rFonts w:ascii="宋体" w:hAnsi="宋体"/>
          <w:sz w:val="24"/>
          <w:szCs w:val="24"/>
        </w:rPr>
      </w:pPr>
      <w:r>
        <w:rPr>
          <w:rFonts w:hint="eastAsia" w:ascii="宋体" w:hAnsi="宋体"/>
          <w:sz w:val="24"/>
          <w:szCs w:val="24"/>
        </w:rPr>
        <w:t>1、网上报销系统与预算系统能够实现对以前数据（以前年度及项目实施年度的前期）的补录。</w:t>
      </w:r>
    </w:p>
    <w:p w14:paraId="09BB071E">
      <w:pPr>
        <w:spacing w:line="360" w:lineRule="auto"/>
        <w:ind w:firstLine="566" w:firstLineChars="236"/>
        <w:jc w:val="left"/>
        <w:rPr>
          <w:rFonts w:ascii="宋体" w:hAnsi="宋体"/>
          <w:sz w:val="24"/>
          <w:szCs w:val="24"/>
        </w:rPr>
      </w:pPr>
      <w:r>
        <w:rPr>
          <w:rFonts w:hint="eastAsia" w:ascii="宋体" w:hAnsi="宋体"/>
          <w:sz w:val="24"/>
          <w:szCs w:val="24"/>
        </w:rPr>
        <w:t>2、在系统上线前，完成财务处与各二级单位的预算科目测试培训，确保财务人员和各部门预算员理解预算科目互斥规则与映射逻辑。</w:t>
      </w:r>
    </w:p>
    <w:p w14:paraId="764FF366">
      <w:pPr>
        <w:spacing w:line="360" w:lineRule="auto"/>
        <w:ind w:firstLine="566" w:firstLineChars="236"/>
        <w:jc w:val="left"/>
        <w:rPr>
          <w:rFonts w:ascii="宋体" w:hAnsi="宋体"/>
          <w:sz w:val="24"/>
          <w:szCs w:val="24"/>
        </w:rPr>
      </w:pPr>
      <w:r>
        <w:rPr>
          <w:rFonts w:hint="eastAsia" w:ascii="宋体" w:hAnsi="宋体"/>
          <w:sz w:val="24"/>
          <w:szCs w:val="24"/>
        </w:rPr>
        <w:t>3、系统开发过程中应建立月度进度汇报机制，分期交付核心功能模块（预算编制模块、报销申请模块、预算控制联动模块、自动制证模块），可分期验收以保障项目质量和实施进度。</w:t>
      </w:r>
    </w:p>
    <w:p w14:paraId="5D31CED0">
      <w:pPr>
        <w:spacing w:line="360" w:lineRule="auto"/>
        <w:ind w:firstLine="566" w:firstLineChars="236"/>
        <w:jc w:val="left"/>
        <w:rPr>
          <w:rFonts w:ascii="宋体" w:hAnsi="宋体"/>
          <w:sz w:val="24"/>
          <w:szCs w:val="24"/>
        </w:rPr>
      </w:pPr>
      <w:r>
        <w:rPr>
          <w:rFonts w:hint="eastAsia" w:ascii="宋体" w:hAnsi="宋体"/>
          <w:sz w:val="24"/>
          <w:szCs w:val="24"/>
        </w:rPr>
        <w:t>4、系统上线后应设立3个月的试运行期和过渡期双轨并行运行机制：网上报销系统与线下报销并行操作，对系统产生的预算执行数据进行人工复核，逐步过渡至全线上运行。试运行期结束后根据使用反馈对系统功能进行必要调整后再正式全面上线。</w:t>
      </w:r>
    </w:p>
    <w:p w14:paraId="44B405D7">
      <w:pPr>
        <w:pageBreakBefore/>
        <w:tabs>
          <w:tab w:val="center" w:pos="4567"/>
        </w:tabs>
        <w:spacing w:line="360" w:lineRule="auto"/>
        <w:jc w:val="center"/>
        <w:outlineLvl w:val="0"/>
        <w:rPr>
          <w:rFonts w:eastAsia="黑体"/>
          <w:bCs/>
          <w:sz w:val="36"/>
          <w:szCs w:val="36"/>
        </w:rPr>
      </w:pPr>
      <w:r>
        <w:rPr>
          <w:rFonts w:hint="eastAsia" w:eastAsia="黑体"/>
          <w:bCs/>
          <w:sz w:val="36"/>
          <w:szCs w:val="36"/>
        </w:rPr>
        <w:t>第五章 合同主要条款及格式</w:t>
      </w:r>
      <w:bookmarkEnd w:id="91"/>
    </w:p>
    <w:p w14:paraId="4950E0B2">
      <w:pPr>
        <w:adjustRightInd w:val="0"/>
        <w:snapToGrid w:val="0"/>
        <w:spacing w:line="480" w:lineRule="auto"/>
        <w:jc w:val="center"/>
        <w:rPr>
          <w:rFonts w:ascii="宋体" w:hAnsi="宋体" w:eastAsia="黑体"/>
          <w:sz w:val="32"/>
          <w:szCs w:val="24"/>
        </w:rPr>
      </w:pPr>
      <w:r>
        <w:rPr>
          <w:rFonts w:ascii="宋体" w:hAnsi="宋体" w:eastAsia="黑体"/>
          <w:sz w:val="32"/>
          <w:szCs w:val="24"/>
        </w:rPr>
        <w:t>（供参考，最终以实际签订为准）</w:t>
      </w:r>
    </w:p>
    <w:p w14:paraId="3EC8F377">
      <w:pPr>
        <w:adjustRightInd w:val="0"/>
        <w:snapToGrid w:val="0"/>
        <w:spacing w:line="480" w:lineRule="auto"/>
        <w:ind w:right="-108"/>
        <w:jc w:val="center"/>
        <w:rPr>
          <w:rFonts w:ascii="黑体" w:hAnsi="黑体" w:eastAsia="黑体"/>
          <w:b/>
          <w:sz w:val="56"/>
          <w:szCs w:val="52"/>
        </w:rPr>
      </w:pPr>
      <w:bookmarkStart w:id="93" w:name="OLE_LINK46"/>
      <w:r>
        <w:rPr>
          <w:rFonts w:hint="eastAsia" w:ascii="黑体" w:hAnsi="黑体" w:eastAsia="黑体"/>
          <w:b/>
          <w:sz w:val="56"/>
          <w:szCs w:val="52"/>
        </w:rPr>
        <w:t>南京审计大学金审学院财务系统更新软件采购</w:t>
      </w:r>
      <w:bookmarkEnd w:id="93"/>
    </w:p>
    <w:p w14:paraId="3E30FE2A">
      <w:pPr>
        <w:adjustRightInd w:val="0"/>
        <w:snapToGrid w:val="0"/>
        <w:spacing w:line="480" w:lineRule="auto"/>
        <w:jc w:val="center"/>
        <w:rPr>
          <w:rFonts w:ascii="宋体" w:hAnsi="宋体" w:eastAsia="黑体"/>
          <w:b/>
          <w:sz w:val="52"/>
          <w:szCs w:val="24"/>
        </w:rPr>
      </w:pPr>
    </w:p>
    <w:p w14:paraId="7893543E">
      <w:pPr>
        <w:adjustRightInd w:val="0"/>
        <w:snapToGrid w:val="0"/>
        <w:spacing w:line="480" w:lineRule="auto"/>
        <w:jc w:val="center"/>
        <w:rPr>
          <w:rFonts w:ascii="宋体" w:hAnsi="宋体" w:eastAsia="黑体"/>
          <w:b/>
          <w:sz w:val="52"/>
          <w:szCs w:val="24"/>
        </w:rPr>
      </w:pPr>
      <w:r>
        <w:rPr>
          <w:rFonts w:hint="eastAsia" w:ascii="宋体" w:hAnsi="宋体" w:eastAsia="黑体"/>
          <w:b/>
          <w:sz w:val="52"/>
          <w:szCs w:val="24"/>
        </w:rPr>
        <w:t>合   同</w:t>
      </w:r>
    </w:p>
    <w:p w14:paraId="4713B733">
      <w:pPr>
        <w:jc w:val="center"/>
        <w:rPr>
          <w:rFonts w:ascii="黑体" w:hAnsi="宋体" w:eastAsia="黑体"/>
          <w:b/>
          <w:sz w:val="32"/>
          <w:szCs w:val="24"/>
        </w:rPr>
      </w:pPr>
    </w:p>
    <w:p w14:paraId="5A67EFED">
      <w:pPr>
        <w:spacing w:line="720" w:lineRule="auto"/>
        <w:jc w:val="left"/>
        <w:rPr>
          <w:rFonts w:ascii="黑体" w:hAnsi="宋体" w:eastAsia="黑体"/>
          <w:b/>
          <w:sz w:val="24"/>
          <w:szCs w:val="24"/>
        </w:rPr>
      </w:pPr>
      <w:r>
        <w:rPr>
          <w:rFonts w:hint="eastAsia" w:ascii="黑体" w:hAnsi="宋体" w:eastAsia="黑体"/>
          <w:b/>
          <w:sz w:val="32"/>
          <w:szCs w:val="24"/>
        </w:rPr>
        <w:t>发包人：</w:t>
      </w:r>
      <w:r>
        <w:rPr>
          <w:rFonts w:hint="eastAsia" w:ascii="黑体" w:hAnsi="宋体" w:eastAsia="黑体"/>
          <w:b/>
          <w:sz w:val="24"/>
          <w:szCs w:val="24"/>
        </w:rPr>
        <w:t>________________________________________</w:t>
      </w:r>
    </w:p>
    <w:p w14:paraId="606C2D1D">
      <w:pPr>
        <w:spacing w:line="720" w:lineRule="auto"/>
        <w:jc w:val="left"/>
        <w:rPr>
          <w:rFonts w:ascii="黑体" w:hAnsi="宋体" w:eastAsia="黑体"/>
          <w:b/>
          <w:sz w:val="24"/>
          <w:szCs w:val="24"/>
        </w:rPr>
      </w:pPr>
      <w:r>
        <w:rPr>
          <w:rFonts w:hint="eastAsia" w:ascii="黑体" w:hAnsi="宋体" w:eastAsia="黑体"/>
          <w:b/>
          <w:sz w:val="32"/>
          <w:szCs w:val="24"/>
        </w:rPr>
        <w:t>承包人：</w:t>
      </w:r>
      <w:r>
        <w:rPr>
          <w:rFonts w:hint="eastAsia" w:ascii="黑体" w:hAnsi="宋体" w:eastAsia="黑体"/>
          <w:b/>
          <w:sz w:val="24"/>
          <w:szCs w:val="24"/>
        </w:rPr>
        <w:t>________________________________________</w:t>
      </w:r>
    </w:p>
    <w:p w14:paraId="310B9F75">
      <w:pPr>
        <w:spacing w:line="720" w:lineRule="auto"/>
        <w:jc w:val="left"/>
        <w:rPr>
          <w:rFonts w:ascii="黑体" w:hAnsi="宋体" w:eastAsia="黑体"/>
          <w:b/>
          <w:sz w:val="24"/>
          <w:szCs w:val="24"/>
        </w:rPr>
      </w:pPr>
      <w:r>
        <w:rPr>
          <w:rFonts w:hint="eastAsia" w:ascii="黑体" w:hAnsi="宋体" w:eastAsia="黑体"/>
          <w:b/>
          <w:sz w:val="32"/>
          <w:szCs w:val="24"/>
        </w:rPr>
        <w:t>签订日期：</w:t>
      </w:r>
      <w:r>
        <w:rPr>
          <w:rFonts w:ascii="黑体" w:hAnsi="宋体" w:eastAsia="黑体"/>
          <w:b/>
          <w:sz w:val="32"/>
          <w:szCs w:val="24"/>
        </w:rPr>
        <w:t xml:space="preserve">  </w:t>
      </w:r>
      <w:r>
        <w:rPr>
          <w:rFonts w:hint="eastAsia" w:ascii="黑体" w:hAnsi="宋体" w:eastAsia="黑体"/>
          <w:b/>
          <w:sz w:val="32"/>
          <w:szCs w:val="24"/>
        </w:rPr>
        <w:t>年 月 日</w:t>
      </w:r>
    </w:p>
    <w:p w14:paraId="25F110E4">
      <w:pPr>
        <w:sectPr>
          <w:pgSz w:w="11906" w:h="16838"/>
          <w:pgMar w:top="1440" w:right="1080" w:bottom="1440" w:left="1080" w:header="851" w:footer="992" w:gutter="0"/>
          <w:cols w:space="720" w:num="1"/>
          <w:docGrid w:type="lines" w:linePitch="312" w:charSpace="0"/>
        </w:sectPr>
      </w:pPr>
    </w:p>
    <w:p w14:paraId="2C21B5F3">
      <w:pPr>
        <w:spacing w:before="340" w:after="320" w:line="576" w:lineRule="auto"/>
        <w:jc w:val="center"/>
        <w:rPr>
          <w:b/>
          <w:sz w:val="32"/>
          <w:szCs w:val="32"/>
        </w:rPr>
      </w:pPr>
      <w:bookmarkStart w:id="94" w:name="_Toc296503025"/>
      <w:bookmarkStart w:id="95" w:name="_Toc351203480"/>
      <w:bookmarkStart w:id="96" w:name="_Toc296890982"/>
      <w:bookmarkStart w:id="97" w:name="_Toc351203482"/>
      <w:r>
        <w:rPr>
          <w:b/>
          <w:sz w:val="32"/>
          <w:szCs w:val="32"/>
        </w:rPr>
        <w:t>第一部分合同协议书</w:t>
      </w:r>
      <w:bookmarkEnd w:id="94"/>
      <w:bookmarkEnd w:id="95"/>
      <w:bookmarkEnd w:id="96"/>
    </w:p>
    <w:p w14:paraId="244DEAD2">
      <w:pPr>
        <w:spacing w:before="340" w:after="320" w:line="576" w:lineRule="auto"/>
        <w:jc w:val="center"/>
        <w:rPr>
          <w:b/>
          <w:sz w:val="32"/>
          <w:szCs w:val="32"/>
        </w:rPr>
      </w:pPr>
      <w:r>
        <w:rPr>
          <w:rFonts w:hint="eastAsia"/>
          <w:b/>
          <w:sz w:val="32"/>
          <w:szCs w:val="32"/>
        </w:rPr>
        <w:t>（非正式版本，供参考，具体以实际签订为准）</w:t>
      </w:r>
    </w:p>
    <w:p w14:paraId="5C362EF6">
      <w:pPr>
        <w:spacing w:line="360" w:lineRule="auto"/>
        <w:rPr>
          <w:rFonts w:ascii="等线" w:hAnsi="等线" w:eastAsia="等线"/>
          <w:b/>
          <w:szCs w:val="21"/>
          <w:u w:val="single"/>
        </w:rPr>
      </w:pPr>
      <w:r>
        <w:rPr>
          <w:rFonts w:ascii="等线" w:hAnsi="等线" w:eastAsia="等线"/>
          <w:b/>
          <w:szCs w:val="21"/>
        </w:rPr>
        <w:t>发包人（全称）：</w:t>
      </w:r>
      <w:r>
        <w:rPr>
          <w:rFonts w:hint="eastAsia" w:ascii="等线" w:hAnsi="等线" w:eastAsia="等线"/>
          <w:b/>
          <w:szCs w:val="21"/>
          <w:u w:val="single"/>
        </w:rPr>
        <w:t>南京审计大学金审学院</w:t>
      </w:r>
    </w:p>
    <w:p w14:paraId="25B487CF">
      <w:pPr>
        <w:spacing w:line="360" w:lineRule="auto"/>
        <w:rPr>
          <w:rFonts w:ascii="等线" w:hAnsi="等线" w:eastAsia="等线"/>
          <w:b/>
          <w:szCs w:val="21"/>
          <w:u w:val="single"/>
        </w:rPr>
      </w:pPr>
      <w:r>
        <w:rPr>
          <w:rFonts w:ascii="等线" w:hAnsi="等线" w:eastAsia="等线"/>
          <w:b/>
          <w:szCs w:val="21"/>
        </w:rPr>
        <w:t>承包人（全称）：</w:t>
      </w:r>
      <w:r>
        <w:rPr>
          <w:rFonts w:hint="eastAsia" w:ascii="等线" w:hAnsi="等线" w:eastAsia="等线"/>
          <w:b/>
          <w:szCs w:val="21"/>
          <w:u w:val="single"/>
        </w:rPr>
        <w:t xml:space="preserve"> </w:t>
      </w:r>
      <w:r>
        <w:rPr>
          <w:rFonts w:ascii="等线" w:hAnsi="等线" w:eastAsia="等线"/>
          <w:b/>
          <w:szCs w:val="21"/>
          <w:u w:val="single"/>
        </w:rPr>
        <w:t xml:space="preserve">                </w:t>
      </w:r>
    </w:p>
    <w:p w14:paraId="19CACE05">
      <w:pPr>
        <w:spacing w:line="360" w:lineRule="auto"/>
        <w:ind w:firstLine="420" w:firstLineChars="200"/>
        <w:rPr>
          <w:rFonts w:ascii="宋体" w:hAnsi="宋体"/>
          <w:szCs w:val="21"/>
        </w:rPr>
      </w:pPr>
      <w:r>
        <w:rPr>
          <w:rFonts w:ascii="宋体" w:hAnsi="宋体"/>
          <w:szCs w:val="21"/>
        </w:rPr>
        <w:t>根据《中华人民共和国</w:t>
      </w:r>
      <w:r>
        <w:rPr>
          <w:rFonts w:hint="eastAsia" w:ascii="宋体" w:hAnsi="宋体"/>
          <w:szCs w:val="21"/>
        </w:rPr>
        <w:t>民法典</w:t>
      </w:r>
      <w:r>
        <w:rPr>
          <w:rFonts w:ascii="宋体" w:hAnsi="宋体"/>
          <w:szCs w:val="21"/>
        </w:rPr>
        <w:t>》及有关法律规定，遵循平等、自愿、公平和诚实信用的原则，双方就</w:t>
      </w:r>
      <w:r>
        <w:rPr>
          <w:rFonts w:hint="eastAsia" w:ascii="宋体" w:hAnsi="宋体"/>
          <w:szCs w:val="21"/>
          <w:u w:val="single"/>
        </w:rPr>
        <w:t>金审学院智慧财务系统软件采购项目</w:t>
      </w:r>
      <w:r>
        <w:rPr>
          <w:rFonts w:ascii="宋体" w:hAnsi="宋体"/>
          <w:szCs w:val="21"/>
        </w:rPr>
        <w:t>及有关事项协商一致</w:t>
      </w:r>
      <w:r>
        <w:rPr>
          <w:rFonts w:hint="eastAsia" w:ascii="宋体" w:hAnsi="宋体"/>
          <w:szCs w:val="21"/>
        </w:rPr>
        <w:t>，</w:t>
      </w:r>
      <w:r>
        <w:rPr>
          <w:rFonts w:ascii="宋体" w:hAnsi="宋体"/>
          <w:szCs w:val="21"/>
        </w:rPr>
        <w:t>共同达成如下协议：</w:t>
      </w:r>
    </w:p>
    <w:p w14:paraId="144E43AD">
      <w:pPr>
        <w:pStyle w:val="7"/>
        <w:spacing w:line="360" w:lineRule="auto"/>
        <w:rPr>
          <w:rFonts w:ascii="Times New Roman" w:hAnsi="Times New Roman"/>
          <w:bCs/>
          <w:sz w:val="24"/>
        </w:rPr>
      </w:pPr>
      <w:bookmarkStart w:id="98" w:name="_Toc351203481"/>
      <w:r>
        <w:rPr>
          <w:rFonts w:ascii="Times New Roman" w:hAnsi="Times New Roman"/>
          <w:b w:val="0"/>
          <w:szCs w:val="32"/>
        </w:rPr>
        <w:t>一、</w:t>
      </w:r>
      <w:r>
        <w:rPr>
          <w:rFonts w:hint="eastAsia" w:ascii="Times New Roman" w:hAnsi="Times New Roman"/>
          <w:b w:val="0"/>
          <w:szCs w:val="32"/>
        </w:rPr>
        <w:t>项目</w:t>
      </w:r>
      <w:r>
        <w:rPr>
          <w:rFonts w:ascii="Times New Roman" w:hAnsi="Times New Roman"/>
          <w:b w:val="0"/>
          <w:szCs w:val="32"/>
        </w:rPr>
        <w:t>概况</w:t>
      </w:r>
      <w:bookmarkEnd w:id="98"/>
    </w:p>
    <w:p w14:paraId="1986FD9F">
      <w:pPr>
        <w:spacing w:line="360" w:lineRule="auto"/>
        <w:ind w:firstLine="411" w:firstLineChars="196"/>
        <w:rPr>
          <w:rFonts w:ascii="宋体" w:hAnsi="宋体"/>
          <w:szCs w:val="21"/>
          <w:u w:val="single"/>
        </w:rPr>
      </w:pPr>
      <w:r>
        <w:rPr>
          <w:rFonts w:ascii="宋体" w:hAnsi="宋体"/>
          <w:bCs/>
          <w:szCs w:val="21"/>
        </w:rPr>
        <w:t>1.</w:t>
      </w:r>
      <w:r>
        <w:rPr>
          <w:rFonts w:hint="eastAsia" w:ascii="宋体" w:hAnsi="宋体"/>
          <w:bCs/>
          <w:szCs w:val="21"/>
        </w:rPr>
        <w:t>项目</w:t>
      </w:r>
      <w:r>
        <w:rPr>
          <w:rFonts w:ascii="宋体" w:hAnsi="宋体"/>
          <w:bCs/>
          <w:szCs w:val="21"/>
        </w:rPr>
        <w:t>名称</w:t>
      </w:r>
      <w:r>
        <w:rPr>
          <w:rFonts w:ascii="宋体" w:hAnsi="宋体"/>
          <w:szCs w:val="21"/>
        </w:rPr>
        <w:t>：</w:t>
      </w:r>
      <w:r>
        <w:rPr>
          <w:rFonts w:hint="eastAsia" w:ascii="宋体" w:hAnsi="宋体"/>
          <w:szCs w:val="21"/>
          <w:u w:val="single"/>
        </w:rPr>
        <w:t>金审学院智慧财务系统软件采购项目</w:t>
      </w:r>
    </w:p>
    <w:p w14:paraId="6ABC71F5">
      <w:pPr>
        <w:spacing w:line="360" w:lineRule="auto"/>
        <w:ind w:firstLine="411" w:firstLineChars="196"/>
        <w:rPr>
          <w:rFonts w:ascii="宋体" w:hAnsi="宋体"/>
          <w:bCs/>
          <w:szCs w:val="21"/>
        </w:rPr>
      </w:pPr>
      <w:r>
        <w:rPr>
          <w:rFonts w:ascii="宋体" w:hAnsi="宋体"/>
          <w:bCs/>
          <w:szCs w:val="21"/>
        </w:rPr>
        <w:t>2.</w:t>
      </w:r>
      <w:r>
        <w:rPr>
          <w:rFonts w:hint="eastAsia" w:ascii="宋体" w:hAnsi="宋体"/>
          <w:bCs/>
          <w:szCs w:val="21"/>
        </w:rPr>
        <w:t>项目</w:t>
      </w:r>
      <w:r>
        <w:rPr>
          <w:rFonts w:ascii="宋体" w:hAnsi="宋体"/>
          <w:bCs/>
          <w:szCs w:val="21"/>
        </w:rPr>
        <w:t>地点：</w:t>
      </w:r>
      <w:r>
        <w:rPr>
          <w:rFonts w:hint="eastAsia" w:ascii="宋体" w:hAnsi="宋体"/>
          <w:szCs w:val="21"/>
          <w:u w:val="single"/>
        </w:rPr>
        <w:t>南京市栖霞区</w:t>
      </w:r>
      <w:r>
        <w:rPr>
          <w:rFonts w:ascii="宋体" w:hAnsi="宋体"/>
          <w:szCs w:val="21"/>
        </w:rPr>
        <w:t>。</w:t>
      </w:r>
    </w:p>
    <w:p w14:paraId="5A6CC2DB">
      <w:pPr>
        <w:spacing w:line="360" w:lineRule="auto"/>
        <w:ind w:firstLine="411" w:firstLineChars="196"/>
        <w:rPr>
          <w:rFonts w:ascii="宋体" w:hAnsi="宋体"/>
          <w:bCs/>
          <w:szCs w:val="21"/>
        </w:rPr>
      </w:pPr>
      <w:r>
        <w:rPr>
          <w:rFonts w:ascii="宋体" w:hAnsi="宋体"/>
          <w:bCs/>
          <w:szCs w:val="21"/>
        </w:rPr>
        <w:t>3.</w:t>
      </w:r>
      <w:r>
        <w:rPr>
          <w:rFonts w:hint="eastAsia" w:ascii="宋体" w:hAnsi="宋体"/>
          <w:bCs/>
          <w:szCs w:val="21"/>
        </w:rPr>
        <w:t>项目</w:t>
      </w:r>
      <w:r>
        <w:rPr>
          <w:rFonts w:ascii="宋体" w:hAnsi="宋体"/>
          <w:bCs/>
          <w:szCs w:val="21"/>
        </w:rPr>
        <w:t>立项批准文号：</w:t>
      </w:r>
      <w:r>
        <w:rPr>
          <w:rFonts w:ascii="宋体" w:hAnsi="宋体"/>
          <w:szCs w:val="21"/>
          <w:u w:val="single"/>
        </w:rPr>
        <w:t>/</w:t>
      </w:r>
      <w:r>
        <w:rPr>
          <w:rFonts w:ascii="宋体" w:hAnsi="宋体"/>
          <w:bCs/>
          <w:szCs w:val="21"/>
        </w:rPr>
        <w:t>。</w:t>
      </w:r>
    </w:p>
    <w:p w14:paraId="197C3942">
      <w:pPr>
        <w:spacing w:line="360" w:lineRule="auto"/>
        <w:ind w:firstLine="411" w:firstLineChars="196"/>
        <w:rPr>
          <w:rFonts w:ascii="宋体" w:hAnsi="宋体"/>
          <w:bCs/>
          <w:szCs w:val="21"/>
        </w:rPr>
      </w:pPr>
      <w:r>
        <w:rPr>
          <w:rFonts w:ascii="宋体" w:hAnsi="宋体"/>
          <w:bCs/>
          <w:szCs w:val="21"/>
        </w:rPr>
        <w:t>4.资金来源：</w:t>
      </w:r>
      <w:r>
        <w:rPr>
          <w:rFonts w:ascii="宋体" w:hAnsi="宋体"/>
          <w:szCs w:val="21"/>
          <w:u w:val="single"/>
        </w:rPr>
        <w:t></w:t>
      </w:r>
      <w:r>
        <w:rPr>
          <w:rFonts w:hint="eastAsia" w:ascii="宋体" w:hAnsi="宋体"/>
          <w:szCs w:val="21"/>
          <w:u w:val="single"/>
        </w:rPr>
        <w:t>自筹</w:t>
      </w:r>
      <w:r>
        <w:rPr>
          <w:rFonts w:ascii="宋体" w:hAnsi="宋体"/>
          <w:szCs w:val="21"/>
          <w:u w:val="single"/>
        </w:rPr>
        <w:t></w:t>
      </w:r>
      <w:r>
        <w:rPr>
          <w:rFonts w:ascii="宋体" w:hAnsi="宋体"/>
          <w:bCs/>
          <w:szCs w:val="21"/>
        </w:rPr>
        <w:t>。</w:t>
      </w:r>
    </w:p>
    <w:p w14:paraId="27651E37">
      <w:pPr>
        <w:spacing w:line="360" w:lineRule="auto"/>
        <w:ind w:firstLine="411" w:firstLineChars="196"/>
        <w:rPr>
          <w:rFonts w:ascii="宋体" w:hAnsi="宋体"/>
          <w:szCs w:val="21"/>
          <w:u w:val="single"/>
        </w:rPr>
      </w:pPr>
      <w:r>
        <w:rPr>
          <w:rFonts w:hint="eastAsia" w:ascii="宋体" w:hAnsi="宋体"/>
          <w:bCs/>
          <w:szCs w:val="21"/>
        </w:rPr>
        <w:t>5.项目内容：</w:t>
      </w:r>
      <w:bookmarkStart w:id="99" w:name="OLE_LINK21"/>
      <w:r>
        <w:rPr>
          <w:rFonts w:hint="eastAsia" w:ascii="宋体" w:hAnsi="宋体"/>
          <w:szCs w:val="21"/>
          <w:u w:val="single"/>
        </w:rPr>
        <w:t>我校采购财务预算管理系统、网上报销系统及小额发放系统，中标单位需根据采购人要求对采购软件进行安装，并与采购人现有软件进行对接。</w:t>
      </w:r>
    </w:p>
    <w:bookmarkEnd w:id="99"/>
    <w:p w14:paraId="0BE7D4FD">
      <w:pPr>
        <w:spacing w:line="360" w:lineRule="auto"/>
        <w:ind w:firstLine="411" w:firstLineChars="196"/>
        <w:rPr>
          <w:rFonts w:ascii="宋体" w:hAnsi="宋体"/>
          <w:szCs w:val="21"/>
          <w:u w:val="single"/>
        </w:rPr>
      </w:pPr>
      <w:r>
        <w:rPr>
          <w:rFonts w:hint="eastAsia" w:ascii="宋体" w:hAnsi="宋体"/>
          <w:bCs/>
          <w:szCs w:val="21"/>
        </w:rPr>
        <w:t>6</w:t>
      </w:r>
      <w:r>
        <w:rPr>
          <w:rFonts w:ascii="宋体" w:hAnsi="宋体"/>
          <w:bCs/>
          <w:szCs w:val="21"/>
        </w:rPr>
        <w:t>.</w:t>
      </w:r>
      <w:r>
        <w:rPr>
          <w:rFonts w:hint="eastAsia" w:ascii="宋体" w:hAnsi="宋体"/>
          <w:bCs/>
          <w:szCs w:val="21"/>
        </w:rPr>
        <w:t>项目</w:t>
      </w:r>
      <w:r>
        <w:rPr>
          <w:rFonts w:ascii="宋体" w:hAnsi="宋体"/>
          <w:bCs/>
          <w:szCs w:val="21"/>
        </w:rPr>
        <w:t>承包范围：</w:t>
      </w:r>
      <w:r>
        <w:rPr>
          <w:rFonts w:ascii="宋体" w:hAnsi="宋体"/>
          <w:szCs w:val="21"/>
          <w:u w:val="single"/>
        </w:rPr>
        <w:t></w:t>
      </w:r>
      <w:r>
        <w:rPr>
          <w:rFonts w:hint="eastAsia" w:ascii="宋体" w:hAnsi="宋体"/>
          <w:szCs w:val="21"/>
          <w:u w:val="single"/>
        </w:rPr>
        <w:t xml:space="preserve">                 </w:t>
      </w:r>
      <w:r>
        <w:rPr>
          <w:rFonts w:ascii="宋体" w:hAnsi="宋体"/>
          <w:szCs w:val="21"/>
        </w:rPr>
        <w:t>。</w:t>
      </w:r>
    </w:p>
    <w:p w14:paraId="57E2AC53">
      <w:pPr>
        <w:spacing w:line="360" w:lineRule="auto"/>
        <w:ind w:right="2440" w:rightChars="1162"/>
        <w:rPr>
          <w:rFonts w:eastAsia="黑体"/>
          <w:b/>
          <w:sz w:val="28"/>
          <w:szCs w:val="32"/>
        </w:rPr>
      </w:pPr>
      <w:r>
        <w:rPr>
          <w:rFonts w:eastAsia="黑体"/>
          <w:b/>
          <w:sz w:val="28"/>
          <w:szCs w:val="32"/>
        </w:rPr>
        <w:t>二、合同期</w:t>
      </w:r>
      <w:bookmarkEnd w:id="97"/>
    </w:p>
    <w:p w14:paraId="25CE7824">
      <w:pPr>
        <w:spacing w:line="360" w:lineRule="auto"/>
        <w:ind w:firstLine="420" w:firstLineChars="200"/>
        <w:rPr>
          <w:rFonts w:ascii="宋体" w:hAnsi="宋体"/>
          <w:szCs w:val="21"/>
        </w:rPr>
      </w:pPr>
      <w:bookmarkStart w:id="100" w:name="_Toc351203483"/>
      <w:r>
        <w:rPr>
          <w:rFonts w:hint="eastAsia" w:ascii="宋体" w:hAnsi="宋体"/>
          <w:szCs w:val="21"/>
        </w:rPr>
        <w:t>合同履行期限：</w:t>
      </w:r>
    </w:p>
    <w:p w14:paraId="7CE3B964">
      <w:pPr>
        <w:spacing w:line="360" w:lineRule="auto"/>
        <w:rPr>
          <w:rFonts w:eastAsia="黑体"/>
          <w:b/>
          <w:sz w:val="28"/>
          <w:szCs w:val="32"/>
        </w:rPr>
      </w:pPr>
      <w:r>
        <w:rPr>
          <w:rFonts w:eastAsia="黑体"/>
          <w:b/>
          <w:sz w:val="28"/>
          <w:szCs w:val="32"/>
        </w:rPr>
        <w:t>三、质量标准</w:t>
      </w:r>
      <w:bookmarkEnd w:id="100"/>
    </w:p>
    <w:p w14:paraId="474C39FF">
      <w:pPr>
        <w:spacing w:line="360" w:lineRule="auto"/>
        <w:ind w:firstLine="459"/>
        <w:rPr>
          <w:rFonts w:ascii="宋体" w:hAnsi="宋体"/>
          <w:szCs w:val="21"/>
        </w:rPr>
      </w:pPr>
      <w:r>
        <w:rPr>
          <w:rFonts w:ascii="宋体" w:hAnsi="宋体"/>
          <w:szCs w:val="21"/>
        </w:rPr>
        <w:t>工程质量</w:t>
      </w:r>
      <w:r>
        <w:rPr>
          <w:rFonts w:hint="eastAsia" w:ascii="宋体" w:hAnsi="宋体"/>
          <w:szCs w:val="21"/>
        </w:rPr>
        <w:t>:</w:t>
      </w:r>
      <w:r>
        <w:rPr>
          <w:rFonts w:hint="eastAsia"/>
        </w:rPr>
        <w:t xml:space="preserve"> </w:t>
      </w:r>
      <w:bookmarkStart w:id="101" w:name="OLE_LINK32"/>
      <w:bookmarkStart w:id="102" w:name="OLE_LINK31"/>
      <w:r>
        <w:rPr>
          <w:rFonts w:hint="eastAsia" w:ascii="宋体"/>
          <w:szCs w:val="21"/>
          <w:u w:val="single"/>
        </w:rPr>
        <w:t>符合国家质量验收标准及采购人要求。</w:t>
      </w:r>
      <w:bookmarkEnd w:id="101"/>
      <w:bookmarkEnd w:id="102"/>
    </w:p>
    <w:p w14:paraId="5259D177">
      <w:pPr>
        <w:spacing w:line="360" w:lineRule="auto"/>
        <w:rPr>
          <w:rFonts w:eastAsia="黑体"/>
          <w:b/>
          <w:sz w:val="28"/>
          <w:szCs w:val="32"/>
        </w:rPr>
      </w:pPr>
      <w:bookmarkStart w:id="103" w:name="_Toc351203484"/>
      <w:r>
        <w:rPr>
          <w:rFonts w:eastAsia="黑体"/>
          <w:b/>
          <w:sz w:val="28"/>
          <w:szCs w:val="32"/>
        </w:rPr>
        <w:t>四、签约合同价与合同价格形式</w:t>
      </w:r>
      <w:bookmarkEnd w:id="103"/>
      <w:r>
        <w:rPr>
          <w:rFonts w:eastAsia="黑体"/>
          <w:b/>
          <w:sz w:val="28"/>
          <w:szCs w:val="32"/>
        </w:rPr>
        <w:tab/>
      </w:r>
    </w:p>
    <w:p w14:paraId="5AC5964C">
      <w:pPr>
        <w:spacing w:line="360" w:lineRule="auto"/>
        <w:ind w:firstLine="411" w:firstLineChars="196"/>
        <w:rPr>
          <w:rFonts w:ascii="宋体" w:hAnsi="宋体"/>
          <w:bCs/>
          <w:szCs w:val="21"/>
        </w:rPr>
      </w:pPr>
      <w:r>
        <w:rPr>
          <w:rFonts w:ascii="宋体" w:hAnsi="宋体"/>
          <w:bCs/>
          <w:szCs w:val="21"/>
        </w:rPr>
        <w:t>1.签约合同价为：</w:t>
      </w:r>
    </w:p>
    <w:p w14:paraId="6923DA2B">
      <w:pPr>
        <w:spacing w:line="360" w:lineRule="auto"/>
        <w:ind w:firstLine="525" w:firstLineChars="250"/>
        <w:rPr>
          <w:rFonts w:ascii="宋体" w:hAnsi="宋体"/>
          <w:szCs w:val="21"/>
        </w:rPr>
      </w:pPr>
      <w:r>
        <w:rPr>
          <w:rFonts w:ascii="宋体" w:hAnsi="宋体"/>
          <w:szCs w:val="21"/>
        </w:rPr>
        <w:t>人民币（大写）</w:t>
      </w:r>
      <w:r>
        <w:rPr>
          <w:rFonts w:hint="eastAsia" w:ascii="宋体"/>
          <w:szCs w:val="21"/>
          <w:u w:val="single"/>
        </w:rPr>
        <w:t xml:space="preserve">   </w:t>
      </w:r>
      <w:r>
        <w:rPr>
          <w:rFonts w:ascii="宋体"/>
          <w:szCs w:val="21"/>
          <w:u w:val="single"/>
        </w:rPr>
        <w:t xml:space="preserve">    </w:t>
      </w:r>
      <w:r>
        <w:rPr>
          <w:rFonts w:hint="eastAsia" w:ascii="宋体"/>
          <w:szCs w:val="21"/>
          <w:u w:val="single"/>
        </w:rPr>
        <w:t xml:space="preserve">  </w:t>
      </w:r>
      <w:r>
        <w:rPr>
          <w:rFonts w:ascii="宋体" w:hAnsi="宋体"/>
          <w:szCs w:val="21"/>
        </w:rPr>
        <w:t xml:space="preserve"> (¥     元)；</w:t>
      </w:r>
    </w:p>
    <w:p w14:paraId="1F75876E">
      <w:pPr>
        <w:spacing w:line="360" w:lineRule="auto"/>
        <w:ind w:firstLine="411" w:firstLineChars="196"/>
        <w:rPr>
          <w:rFonts w:ascii="宋体" w:hAnsi="宋体"/>
          <w:bCs/>
          <w:szCs w:val="21"/>
        </w:rPr>
      </w:pPr>
      <w:r>
        <w:rPr>
          <w:rFonts w:ascii="宋体" w:hAnsi="宋体"/>
          <w:bCs/>
          <w:szCs w:val="21"/>
        </w:rPr>
        <w:t>其中：</w:t>
      </w:r>
    </w:p>
    <w:p w14:paraId="7AD93856">
      <w:pPr>
        <w:spacing w:line="360" w:lineRule="auto"/>
        <w:ind w:firstLine="411" w:firstLineChars="196"/>
        <w:rPr>
          <w:rFonts w:ascii="宋体" w:hAnsi="宋体"/>
          <w:bCs/>
          <w:szCs w:val="21"/>
        </w:rPr>
      </w:pPr>
      <w:r>
        <w:rPr>
          <w:rFonts w:ascii="宋体" w:hAnsi="宋体"/>
          <w:bCs/>
          <w:szCs w:val="21"/>
        </w:rPr>
        <w:t>（1）安全文明施工费：</w:t>
      </w:r>
    </w:p>
    <w:p w14:paraId="7A532FFA">
      <w:pPr>
        <w:spacing w:line="360" w:lineRule="auto"/>
        <w:ind w:firstLine="945" w:firstLineChars="450"/>
        <w:rPr>
          <w:rFonts w:ascii="宋体" w:hAnsi="宋体"/>
          <w:szCs w:val="21"/>
        </w:rPr>
      </w:pPr>
      <w:r>
        <w:rPr>
          <w:rFonts w:ascii="宋体" w:hAnsi="宋体"/>
          <w:szCs w:val="21"/>
        </w:rPr>
        <w:t xml:space="preserve">人民币（大写） </w:t>
      </w:r>
      <w:r>
        <w:rPr>
          <w:rFonts w:hint="eastAsia" w:ascii="宋体" w:hAnsi="宋体"/>
          <w:szCs w:val="21"/>
        </w:rPr>
        <w:t>/</w:t>
      </w:r>
      <w:r>
        <w:rPr>
          <w:rFonts w:ascii="宋体" w:hAnsi="宋体"/>
          <w:szCs w:val="21"/>
        </w:rPr>
        <w:t>(¥元)；</w:t>
      </w:r>
    </w:p>
    <w:p w14:paraId="64648A05">
      <w:pPr>
        <w:spacing w:line="360" w:lineRule="auto"/>
        <w:ind w:firstLine="411" w:firstLineChars="196"/>
        <w:rPr>
          <w:rFonts w:ascii="宋体" w:hAnsi="宋体"/>
          <w:bCs/>
          <w:szCs w:val="21"/>
        </w:rPr>
      </w:pPr>
      <w:r>
        <w:rPr>
          <w:rFonts w:ascii="宋体" w:hAnsi="宋体"/>
          <w:bCs/>
          <w:szCs w:val="21"/>
        </w:rPr>
        <w:t>（2）材料和工程设备暂估价金额：</w:t>
      </w:r>
    </w:p>
    <w:p w14:paraId="000FD9EE">
      <w:pPr>
        <w:spacing w:line="360" w:lineRule="auto"/>
        <w:ind w:firstLine="945" w:firstLineChars="450"/>
        <w:rPr>
          <w:rFonts w:ascii="宋体" w:hAnsi="宋体"/>
          <w:szCs w:val="21"/>
        </w:rPr>
      </w:pPr>
      <w:r>
        <w:rPr>
          <w:rFonts w:ascii="宋体" w:hAnsi="宋体"/>
          <w:szCs w:val="21"/>
        </w:rPr>
        <w:t>人民币（大写）</w:t>
      </w:r>
      <w:r>
        <w:rPr>
          <w:rFonts w:hint="eastAsia" w:ascii="宋体" w:hAnsi="宋体"/>
          <w:szCs w:val="21"/>
        </w:rPr>
        <w:t>/</w:t>
      </w:r>
      <w:r>
        <w:rPr>
          <w:rFonts w:ascii="宋体" w:hAnsi="宋体"/>
          <w:szCs w:val="21"/>
        </w:rPr>
        <w:t xml:space="preserve"> (¥元)；</w:t>
      </w:r>
    </w:p>
    <w:p w14:paraId="7B283974">
      <w:pPr>
        <w:spacing w:line="360" w:lineRule="auto"/>
        <w:ind w:firstLine="411" w:firstLineChars="196"/>
        <w:rPr>
          <w:rFonts w:ascii="宋体" w:hAnsi="宋体"/>
          <w:bCs/>
          <w:szCs w:val="21"/>
        </w:rPr>
      </w:pPr>
      <w:r>
        <w:rPr>
          <w:rFonts w:ascii="宋体" w:hAnsi="宋体"/>
          <w:bCs/>
          <w:szCs w:val="21"/>
        </w:rPr>
        <w:t>（3）专业工程暂估价金额：</w:t>
      </w:r>
    </w:p>
    <w:p w14:paraId="5131079C">
      <w:pPr>
        <w:spacing w:line="360" w:lineRule="auto"/>
        <w:ind w:firstLine="945" w:firstLineChars="450"/>
        <w:rPr>
          <w:rFonts w:ascii="宋体" w:hAnsi="宋体"/>
          <w:szCs w:val="21"/>
        </w:rPr>
      </w:pPr>
      <w:r>
        <w:rPr>
          <w:rFonts w:ascii="宋体" w:hAnsi="宋体"/>
          <w:szCs w:val="21"/>
        </w:rPr>
        <w:t>人民币（大写）</w:t>
      </w:r>
      <w:r>
        <w:rPr>
          <w:rFonts w:hint="eastAsia" w:ascii="宋体" w:hAnsi="宋体"/>
          <w:szCs w:val="21"/>
        </w:rPr>
        <w:t>/</w:t>
      </w:r>
      <w:r>
        <w:rPr>
          <w:rFonts w:ascii="宋体" w:hAnsi="宋体"/>
          <w:szCs w:val="21"/>
        </w:rPr>
        <w:t xml:space="preserve"> (¥元)；</w:t>
      </w:r>
    </w:p>
    <w:p w14:paraId="60FDC582">
      <w:pPr>
        <w:spacing w:line="360" w:lineRule="auto"/>
        <w:ind w:firstLine="411" w:firstLineChars="196"/>
        <w:rPr>
          <w:rFonts w:ascii="宋体" w:hAnsi="宋体"/>
          <w:bCs/>
          <w:szCs w:val="21"/>
        </w:rPr>
      </w:pPr>
      <w:r>
        <w:rPr>
          <w:rFonts w:ascii="宋体" w:hAnsi="宋体"/>
          <w:bCs/>
          <w:szCs w:val="21"/>
        </w:rPr>
        <w:t>（4）暂列金额：</w:t>
      </w:r>
    </w:p>
    <w:p w14:paraId="028F0444">
      <w:pPr>
        <w:spacing w:line="360" w:lineRule="auto"/>
        <w:ind w:firstLine="945" w:firstLineChars="450"/>
        <w:rPr>
          <w:rFonts w:ascii="宋体" w:hAnsi="宋体"/>
          <w:szCs w:val="21"/>
        </w:rPr>
      </w:pPr>
      <w:r>
        <w:rPr>
          <w:rFonts w:ascii="宋体" w:hAnsi="宋体"/>
          <w:szCs w:val="21"/>
        </w:rPr>
        <w:t>人民币（大写）</w:t>
      </w:r>
      <w:r>
        <w:rPr>
          <w:rFonts w:hint="eastAsia" w:ascii="宋体" w:hAnsi="宋体"/>
          <w:szCs w:val="21"/>
        </w:rPr>
        <w:t>/</w:t>
      </w:r>
      <w:r>
        <w:rPr>
          <w:rFonts w:ascii="宋体" w:hAnsi="宋体"/>
          <w:szCs w:val="21"/>
        </w:rPr>
        <w:t xml:space="preserve"> (¥元)。</w:t>
      </w:r>
    </w:p>
    <w:p w14:paraId="43A357BB">
      <w:pPr>
        <w:spacing w:line="360" w:lineRule="auto"/>
        <w:ind w:firstLine="420" w:firstLineChars="200"/>
        <w:rPr>
          <w:rFonts w:ascii="宋体"/>
          <w:szCs w:val="21"/>
          <w:u w:val="single"/>
        </w:rPr>
      </w:pPr>
      <w:r>
        <w:rPr>
          <w:rFonts w:ascii="宋体" w:hAnsi="宋体"/>
          <w:szCs w:val="21"/>
        </w:rPr>
        <w:t>2.合同价格形式：</w:t>
      </w:r>
      <w:r>
        <w:rPr>
          <w:rFonts w:hint="eastAsia" w:ascii="宋体"/>
          <w:szCs w:val="21"/>
          <w:u w:val="single"/>
        </w:rPr>
        <w:t>固定单价合同</w:t>
      </w:r>
    </w:p>
    <w:p w14:paraId="23DA5AA7">
      <w:pPr>
        <w:spacing w:line="360" w:lineRule="auto"/>
        <w:rPr>
          <w:rFonts w:eastAsia="黑体"/>
          <w:b/>
          <w:sz w:val="28"/>
          <w:szCs w:val="32"/>
        </w:rPr>
      </w:pPr>
      <w:bookmarkStart w:id="104" w:name="_Toc351203485"/>
      <w:r>
        <w:rPr>
          <w:rFonts w:eastAsia="黑体"/>
          <w:b/>
          <w:sz w:val="28"/>
          <w:szCs w:val="32"/>
        </w:rPr>
        <w:t>五、</w:t>
      </w:r>
      <w:bookmarkEnd w:id="104"/>
      <w:r>
        <w:rPr>
          <w:rFonts w:eastAsia="黑体"/>
          <w:b/>
          <w:sz w:val="28"/>
          <w:szCs w:val="32"/>
        </w:rPr>
        <w:t>项目经理</w:t>
      </w:r>
    </w:p>
    <w:p w14:paraId="0AD47BBB">
      <w:pPr>
        <w:spacing w:line="360" w:lineRule="auto"/>
        <w:ind w:firstLine="420" w:firstLineChars="200"/>
        <w:rPr>
          <w:rFonts w:ascii="宋体" w:hAnsi="宋体"/>
          <w:szCs w:val="21"/>
        </w:rPr>
      </w:pPr>
      <w:r>
        <w:rPr>
          <w:rFonts w:ascii="宋体" w:hAnsi="宋体"/>
          <w:szCs w:val="21"/>
        </w:rPr>
        <w:t>承包人项目经理：</w:t>
      </w:r>
      <w:r>
        <w:rPr>
          <w:rFonts w:hint="eastAsia" w:ascii="宋体" w:hAnsi="宋体" w:cs="宋体"/>
          <w:u w:val="single"/>
        </w:rPr>
        <w:t xml:space="preserve"> </w:t>
      </w:r>
      <w:r>
        <w:rPr>
          <w:rFonts w:ascii="宋体" w:hAnsi="宋体" w:cs="宋体"/>
          <w:u w:val="single"/>
        </w:rPr>
        <w:t xml:space="preserve">      </w:t>
      </w:r>
      <w:r>
        <w:rPr>
          <w:rFonts w:ascii="宋体" w:hAnsi="宋体"/>
          <w:szCs w:val="21"/>
        </w:rPr>
        <w:t>。</w:t>
      </w:r>
    </w:p>
    <w:p w14:paraId="149B7E37">
      <w:pPr>
        <w:spacing w:line="360" w:lineRule="auto"/>
        <w:rPr>
          <w:rFonts w:eastAsia="黑体"/>
          <w:b/>
          <w:sz w:val="28"/>
          <w:szCs w:val="32"/>
        </w:rPr>
      </w:pPr>
      <w:bookmarkStart w:id="105" w:name="_Toc351203486"/>
      <w:r>
        <w:rPr>
          <w:rFonts w:eastAsia="黑体"/>
          <w:b/>
          <w:sz w:val="28"/>
          <w:szCs w:val="32"/>
        </w:rPr>
        <w:t>六、合同文件构成</w:t>
      </w:r>
      <w:bookmarkEnd w:id="105"/>
    </w:p>
    <w:p w14:paraId="2C45D02F">
      <w:pPr>
        <w:spacing w:line="360" w:lineRule="auto"/>
        <w:ind w:firstLine="411" w:firstLineChars="196"/>
        <w:rPr>
          <w:rFonts w:ascii="宋体" w:hAnsi="宋体"/>
          <w:bCs/>
          <w:szCs w:val="21"/>
        </w:rPr>
      </w:pPr>
      <w:r>
        <w:rPr>
          <w:rFonts w:ascii="宋体" w:hAnsi="宋体"/>
          <w:bCs/>
          <w:szCs w:val="21"/>
        </w:rPr>
        <w:t>本协议书与下列文件一起构成合同文件：</w:t>
      </w:r>
    </w:p>
    <w:p w14:paraId="0D506A80">
      <w:pPr>
        <w:autoSpaceDE w:val="0"/>
        <w:autoSpaceDN w:val="0"/>
        <w:adjustRightInd w:val="0"/>
        <w:spacing w:line="360" w:lineRule="auto"/>
        <w:ind w:firstLine="420" w:firstLineChars="200"/>
        <w:rPr>
          <w:rFonts w:ascii="宋体" w:hAnsi="宋体"/>
          <w:szCs w:val="21"/>
        </w:rPr>
      </w:pPr>
      <w:r>
        <w:rPr>
          <w:rFonts w:ascii="宋体" w:hAnsi="宋体"/>
          <w:szCs w:val="21"/>
        </w:rPr>
        <w:t>（1）</w:t>
      </w:r>
      <w:r>
        <w:rPr>
          <w:rFonts w:hint="eastAsia" w:ascii="宋体" w:hAnsi="宋体"/>
          <w:szCs w:val="21"/>
        </w:rPr>
        <w:t>成交</w:t>
      </w:r>
      <w:r>
        <w:rPr>
          <w:rFonts w:ascii="宋体" w:hAnsi="宋体"/>
          <w:szCs w:val="21"/>
        </w:rPr>
        <w:t>通知书（如果有）；</w:t>
      </w:r>
    </w:p>
    <w:p w14:paraId="611278A7">
      <w:pPr>
        <w:autoSpaceDE w:val="0"/>
        <w:autoSpaceDN w:val="0"/>
        <w:adjustRightInd w:val="0"/>
        <w:spacing w:line="360" w:lineRule="auto"/>
        <w:ind w:firstLine="420" w:firstLineChars="200"/>
        <w:rPr>
          <w:rFonts w:ascii="宋体" w:hAnsi="宋体"/>
          <w:szCs w:val="21"/>
        </w:rPr>
      </w:pPr>
      <w:r>
        <w:rPr>
          <w:rFonts w:ascii="宋体" w:hAnsi="宋体"/>
          <w:szCs w:val="21"/>
        </w:rPr>
        <w:t xml:space="preserve">（2）投标函及其附录（如果有）； </w:t>
      </w:r>
    </w:p>
    <w:p w14:paraId="1CAB9BCD">
      <w:pPr>
        <w:autoSpaceDE w:val="0"/>
        <w:autoSpaceDN w:val="0"/>
        <w:adjustRightInd w:val="0"/>
        <w:spacing w:line="360" w:lineRule="auto"/>
        <w:ind w:firstLine="420" w:firstLineChars="200"/>
        <w:rPr>
          <w:rFonts w:ascii="宋体" w:hAnsi="宋体"/>
          <w:szCs w:val="21"/>
        </w:rPr>
      </w:pPr>
      <w:r>
        <w:rPr>
          <w:rFonts w:ascii="宋体" w:hAnsi="宋体"/>
          <w:szCs w:val="21"/>
        </w:rPr>
        <w:t>（3）专用合同条款及其附件；</w:t>
      </w:r>
    </w:p>
    <w:p w14:paraId="7E84C7FC">
      <w:pPr>
        <w:autoSpaceDE w:val="0"/>
        <w:autoSpaceDN w:val="0"/>
        <w:adjustRightInd w:val="0"/>
        <w:spacing w:line="360" w:lineRule="auto"/>
        <w:ind w:firstLine="420" w:firstLineChars="200"/>
        <w:rPr>
          <w:rFonts w:ascii="宋体" w:hAnsi="宋体"/>
          <w:szCs w:val="21"/>
        </w:rPr>
      </w:pPr>
      <w:r>
        <w:rPr>
          <w:rFonts w:ascii="宋体" w:hAnsi="宋体"/>
          <w:szCs w:val="21"/>
        </w:rPr>
        <w:t>（4）通用合同条款；</w:t>
      </w:r>
    </w:p>
    <w:p w14:paraId="46F8F772">
      <w:pPr>
        <w:autoSpaceDE w:val="0"/>
        <w:autoSpaceDN w:val="0"/>
        <w:adjustRightInd w:val="0"/>
        <w:spacing w:line="360" w:lineRule="auto"/>
        <w:ind w:firstLine="420" w:firstLineChars="200"/>
        <w:rPr>
          <w:rFonts w:ascii="宋体" w:hAnsi="宋体"/>
          <w:szCs w:val="21"/>
        </w:rPr>
      </w:pPr>
      <w:r>
        <w:rPr>
          <w:rFonts w:ascii="宋体" w:hAnsi="宋体"/>
          <w:szCs w:val="21"/>
        </w:rPr>
        <w:t>（5）技术标准和要求；</w:t>
      </w:r>
    </w:p>
    <w:p w14:paraId="731B1649">
      <w:pPr>
        <w:autoSpaceDE w:val="0"/>
        <w:autoSpaceDN w:val="0"/>
        <w:adjustRightInd w:val="0"/>
        <w:spacing w:line="360" w:lineRule="auto"/>
        <w:ind w:firstLine="420" w:firstLineChars="200"/>
        <w:rPr>
          <w:rFonts w:ascii="宋体" w:hAnsi="宋体"/>
          <w:szCs w:val="21"/>
        </w:rPr>
      </w:pPr>
      <w:r>
        <w:rPr>
          <w:rFonts w:ascii="宋体" w:hAnsi="宋体"/>
          <w:szCs w:val="21"/>
        </w:rPr>
        <w:t>（</w:t>
      </w:r>
      <w:r>
        <w:rPr>
          <w:rFonts w:hint="eastAsia" w:ascii="宋体" w:hAnsi="宋体"/>
          <w:szCs w:val="21"/>
        </w:rPr>
        <w:t>6</w:t>
      </w:r>
      <w:r>
        <w:rPr>
          <w:rFonts w:ascii="宋体" w:hAnsi="宋体"/>
          <w:szCs w:val="21"/>
        </w:rPr>
        <w:t>）其他合同文件。</w:t>
      </w:r>
    </w:p>
    <w:p w14:paraId="7132F5B0">
      <w:pPr>
        <w:autoSpaceDE w:val="0"/>
        <w:autoSpaceDN w:val="0"/>
        <w:adjustRightInd w:val="0"/>
        <w:spacing w:line="360" w:lineRule="auto"/>
        <w:ind w:firstLine="420" w:firstLineChars="200"/>
        <w:rPr>
          <w:rFonts w:ascii="宋体" w:hAnsi="宋体"/>
          <w:szCs w:val="21"/>
        </w:rPr>
      </w:pPr>
      <w:r>
        <w:rPr>
          <w:rFonts w:ascii="宋体" w:hAnsi="宋体"/>
          <w:szCs w:val="21"/>
        </w:rPr>
        <w:t>在合同订立及履行过程中形成的与合同有关的文件均构成合同文件组成部分。</w:t>
      </w:r>
    </w:p>
    <w:p w14:paraId="4B0854DA">
      <w:pPr>
        <w:autoSpaceDE w:val="0"/>
        <w:autoSpaceDN w:val="0"/>
        <w:adjustRightInd w:val="0"/>
        <w:spacing w:line="360" w:lineRule="auto"/>
        <w:ind w:firstLine="420" w:firstLineChars="200"/>
        <w:rPr>
          <w:rFonts w:ascii="宋体" w:hAnsi="宋体"/>
          <w:szCs w:val="21"/>
        </w:rPr>
      </w:pPr>
      <w:r>
        <w:rPr>
          <w:rFonts w:ascii="宋体" w:hAnsi="宋体"/>
          <w:szCs w:val="21"/>
        </w:rPr>
        <w:t>上述各项合同文件包括合同当事人就该项合同文件所作出的补充和修改，属于同一类内容的文件，应以最新签署的为准。</w:t>
      </w:r>
      <w:r>
        <w:rPr>
          <w:rFonts w:hint="eastAsia" w:ascii="宋体" w:hAnsi="宋体"/>
          <w:szCs w:val="21"/>
        </w:rPr>
        <w:t>专用合同条款及其附件须经合同当事人签字或盖章。</w:t>
      </w:r>
    </w:p>
    <w:p w14:paraId="19AC0909">
      <w:pPr>
        <w:spacing w:line="360" w:lineRule="auto"/>
        <w:rPr>
          <w:rFonts w:eastAsia="黑体"/>
          <w:b/>
          <w:sz w:val="28"/>
          <w:szCs w:val="32"/>
        </w:rPr>
      </w:pPr>
      <w:bookmarkStart w:id="106" w:name="_Toc351203487"/>
      <w:r>
        <w:rPr>
          <w:rFonts w:eastAsia="黑体"/>
          <w:b/>
          <w:sz w:val="28"/>
          <w:szCs w:val="32"/>
        </w:rPr>
        <w:t>七、承诺</w:t>
      </w:r>
      <w:bookmarkEnd w:id="106"/>
    </w:p>
    <w:p w14:paraId="77E36FF0">
      <w:pPr>
        <w:spacing w:line="360" w:lineRule="auto"/>
        <w:ind w:firstLine="420" w:firstLineChars="200"/>
        <w:rPr>
          <w:rFonts w:ascii="宋体" w:hAnsi="宋体"/>
          <w:bCs/>
          <w:szCs w:val="21"/>
        </w:rPr>
      </w:pPr>
      <w:r>
        <w:rPr>
          <w:rFonts w:ascii="宋体" w:hAnsi="宋体"/>
          <w:bCs/>
          <w:szCs w:val="21"/>
        </w:rPr>
        <w:t>1.发包人承诺按照法律规定履行项目审批手续、筹集</w:t>
      </w:r>
      <w:r>
        <w:rPr>
          <w:rFonts w:hint="eastAsia" w:ascii="宋体" w:hAnsi="宋体"/>
          <w:bCs/>
          <w:szCs w:val="21"/>
        </w:rPr>
        <w:t>项目</w:t>
      </w:r>
      <w:r>
        <w:rPr>
          <w:rFonts w:ascii="宋体" w:hAnsi="宋体"/>
          <w:bCs/>
          <w:szCs w:val="21"/>
        </w:rPr>
        <w:t>资金并按照合同约定的期限和方式支付合同价款。</w:t>
      </w:r>
    </w:p>
    <w:p w14:paraId="6B4A49F0">
      <w:pPr>
        <w:spacing w:line="360" w:lineRule="auto"/>
        <w:ind w:firstLine="420" w:firstLineChars="200"/>
        <w:rPr>
          <w:rFonts w:ascii="宋体" w:hAnsi="宋体"/>
          <w:bCs/>
          <w:szCs w:val="21"/>
        </w:rPr>
      </w:pPr>
      <w:r>
        <w:rPr>
          <w:rFonts w:ascii="宋体" w:hAnsi="宋体"/>
          <w:bCs/>
          <w:szCs w:val="21"/>
        </w:rPr>
        <w:t>2.承包人承诺按照法律规定及合同约定组织完成</w:t>
      </w:r>
      <w:r>
        <w:rPr>
          <w:rFonts w:hint="eastAsia" w:ascii="宋体" w:hAnsi="宋体"/>
          <w:bCs/>
          <w:szCs w:val="21"/>
        </w:rPr>
        <w:t>项目</w:t>
      </w:r>
      <w:r>
        <w:rPr>
          <w:rFonts w:ascii="宋体" w:hAnsi="宋体"/>
          <w:bCs/>
          <w:szCs w:val="21"/>
        </w:rPr>
        <w:t>实施，确保质量和安全，不进行转包及违法分包，并在质保期内承担相应的维护责任。</w:t>
      </w:r>
    </w:p>
    <w:p w14:paraId="4B0D2DFE">
      <w:pPr>
        <w:spacing w:line="360" w:lineRule="auto"/>
        <w:rPr>
          <w:rFonts w:eastAsia="黑体"/>
          <w:b/>
          <w:sz w:val="28"/>
          <w:szCs w:val="32"/>
        </w:rPr>
      </w:pPr>
      <w:bookmarkStart w:id="107" w:name="_Toc351203489"/>
      <w:r>
        <w:rPr>
          <w:rFonts w:hint="eastAsia" w:eastAsia="黑体"/>
          <w:b/>
          <w:sz w:val="28"/>
          <w:szCs w:val="32"/>
        </w:rPr>
        <w:t>八</w:t>
      </w:r>
      <w:r>
        <w:rPr>
          <w:rFonts w:eastAsia="黑体"/>
          <w:b/>
          <w:sz w:val="28"/>
          <w:szCs w:val="32"/>
        </w:rPr>
        <w:t>、签订时间</w:t>
      </w:r>
      <w:bookmarkEnd w:id="107"/>
    </w:p>
    <w:p w14:paraId="53AA3819">
      <w:pPr>
        <w:spacing w:line="360" w:lineRule="auto"/>
        <w:ind w:firstLine="420" w:firstLineChars="200"/>
        <w:rPr>
          <w:rFonts w:ascii="宋体" w:hAnsi="宋体"/>
          <w:bCs/>
          <w:szCs w:val="21"/>
        </w:rPr>
      </w:pPr>
      <w:r>
        <w:rPr>
          <w:rFonts w:ascii="宋体" w:hAnsi="宋体"/>
          <w:bCs/>
          <w:szCs w:val="21"/>
        </w:rPr>
        <w:t>本合同于</w:t>
      </w:r>
      <w:r>
        <w:rPr>
          <w:rFonts w:ascii="宋体"/>
          <w:bCs/>
          <w:szCs w:val="21"/>
          <w:u w:val="single"/>
        </w:rPr>
        <w:t>20</w:t>
      </w:r>
      <w:r>
        <w:rPr>
          <w:rFonts w:hint="eastAsia" w:ascii="宋体"/>
          <w:bCs/>
          <w:szCs w:val="21"/>
          <w:u w:val="single"/>
        </w:rPr>
        <w:t>2</w:t>
      </w:r>
      <w:r>
        <w:rPr>
          <w:rFonts w:ascii="宋体"/>
          <w:bCs/>
          <w:szCs w:val="21"/>
          <w:u w:val="single"/>
        </w:rPr>
        <w:t xml:space="preserve">   </w:t>
      </w:r>
      <w:r>
        <w:rPr>
          <w:rFonts w:hint="eastAsia" w:ascii="宋体"/>
          <w:szCs w:val="21"/>
        </w:rPr>
        <w:t>年</w:t>
      </w:r>
      <w:r>
        <w:rPr>
          <w:rFonts w:hint="eastAsia" w:ascii="宋体"/>
          <w:szCs w:val="21"/>
          <w:u w:val="single"/>
        </w:rPr>
        <w:t xml:space="preserve">  </w:t>
      </w:r>
      <w:r>
        <w:rPr>
          <w:rFonts w:ascii="宋体"/>
          <w:szCs w:val="21"/>
          <w:u w:val="single"/>
        </w:rPr>
        <w:t xml:space="preserve"> </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ascii="宋体"/>
          <w:szCs w:val="21"/>
          <w:u w:val="single"/>
        </w:rPr>
        <w:t xml:space="preserve">  </w:t>
      </w:r>
      <w:r>
        <w:rPr>
          <w:rFonts w:hint="eastAsia" w:ascii="宋体"/>
          <w:szCs w:val="21"/>
          <w:u w:val="single"/>
        </w:rPr>
        <w:t xml:space="preserve"> </w:t>
      </w:r>
      <w:r>
        <w:rPr>
          <w:rFonts w:hint="eastAsia" w:ascii="宋体"/>
          <w:szCs w:val="21"/>
        </w:rPr>
        <w:t>日</w:t>
      </w:r>
      <w:r>
        <w:rPr>
          <w:rFonts w:ascii="宋体" w:hAnsi="宋体"/>
          <w:bCs/>
          <w:szCs w:val="21"/>
        </w:rPr>
        <w:t>签订。</w:t>
      </w:r>
    </w:p>
    <w:p w14:paraId="4436F438">
      <w:pPr>
        <w:spacing w:line="360" w:lineRule="auto"/>
        <w:rPr>
          <w:rFonts w:eastAsia="黑体"/>
          <w:b/>
          <w:sz w:val="28"/>
          <w:szCs w:val="32"/>
        </w:rPr>
      </w:pPr>
      <w:bookmarkStart w:id="108" w:name="_Toc351203490"/>
      <w:r>
        <w:rPr>
          <w:rFonts w:hint="eastAsia" w:eastAsia="黑体"/>
          <w:b/>
          <w:sz w:val="28"/>
          <w:szCs w:val="32"/>
        </w:rPr>
        <w:t>九</w:t>
      </w:r>
      <w:r>
        <w:rPr>
          <w:rFonts w:eastAsia="黑体"/>
          <w:b/>
          <w:sz w:val="28"/>
          <w:szCs w:val="32"/>
        </w:rPr>
        <w:t>、签订地点</w:t>
      </w:r>
      <w:bookmarkEnd w:id="108"/>
    </w:p>
    <w:p w14:paraId="0B43D9B8">
      <w:pPr>
        <w:spacing w:line="360" w:lineRule="auto"/>
        <w:ind w:firstLine="420" w:firstLineChars="200"/>
        <w:rPr>
          <w:rFonts w:ascii="宋体" w:hAnsi="宋体"/>
          <w:bCs/>
          <w:szCs w:val="21"/>
        </w:rPr>
      </w:pPr>
      <w:r>
        <w:rPr>
          <w:rFonts w:ascii="宋体" w:hAnsi="宋体"/>
          <w:bCs/>
          <w:szCs w:val="21"/>
        </w:rPr>
        <w:t>本合同在</w:t>
      </w:r>
      <w:r>
        <w:rPr>
          <w:rFonts w:hint="eastAsia" w:ascii="宋体" w:hAnsi="宋体"/>
          <w:szCs w:val="21"/>
          <w:u w:val="single"/>
        </w:rPr>
        <w:t>南京审计大学金审学院</w:t>
      </w:r>
      <w:r>
        <w:rPr>
          <w:rFonts w:hint="eastAsia" w:ascii="宋体"/>
          <w:szCs w:val="21"/>
          <w:u w:val="single"/>
        </w:rPr>
        <w:t xml:space="preserve"> </w:t>
      </w:r>
      <w:r>
        <w:rPr>
          <w:rFonts w:ascii="宋体" w:hAnsi="宋体"/>
          <w:bCs/>
          <w:szCs w:val="21"/>
        </w:rPr>
        <w:t>签订。</w:t>
      </w:r>
    </w:p>
    <w:p w14:paraId="4504255C">
      <w:pPr>
        <w:spacing w:line="360" w:lineRule="auto"/>
        <w:rPr>
          <w:rFonts w:eastAsia="黑体"/>
          <w:b/>
          <w:sz w:val="28"/>
          <w:szCs w:val="32"/>
        </w:rPr>
      </w:pPr>
      <w:bookmarkStart w:id="109" w:name="_Toc351203491"/>
      <w:r>
        <w:rPr>
          <w:rFonts w:eastAsia="黑体"/>
          <w:b/>
          <w:sz w:val="28"/>
          <w:szCs w:val="32"/>
        </w:rPr>
        <w:t>十、补充协议</w:t>
      </w:r>
      <w:bookmarkEnd w:id="109"/>
    </w:p>
    <w:p w14:paraId="4B1A1922">
      <w:pPr>
        <w:spacing w:line="360" w:lineRule="auto"/>
        <w:ind w:firstLine="420" w:firstLineChars="200"/>
        <w:rPr>
          <w:rFonts w:ascii="宋体" w:hAnsi="宋体"/>
          <w:b/>
          <w:bCs/>
          <w:szCs w:val="21"/>
        </w:rPr>
      </w:pPr>
      <w:r>
        <w:rPr>
          <w:rFonts w:ascii="宋体" w:hAnsi="宋体"/>
          <w:bCs/>
          <w:szCs w:val="21"/>
        </w:rPr>
        <w:t>合同未尽事宜，合同当事人另行签订补充协议</w:t>
      </w:r>
      <w:r>
        <w:rPr>
          <w:rFonts w:hint="eastAsia" w:ascii="宋体" w:hAnsi="宋体"/>
          <w:bCs/>
          <w:szCs w:val="21"/>
        </w:rPr>
        <w:t>，</w:t>
      </w:r>
      <w:r>
        <w:rPr>
          <w:rFonts w:ascii="宋体" w:hAnsi="宋体"/>
          <w:bCs/>
          <w:szCs w:val="21"/>
        </w:rPr>
        <w:t>补充协议是合同的组成部分。</w:t>
      </w:r>
    </w:p>
    <w:p w14:paraId="4342F79B">
      <w:pPr>
        <w:spacing w:line="360" w:lineRule="auto"/>
        <w:rPr>
          <w:rFonts w:eastAsia="黑体"/>
          <w:b/>
          <w:sz w:val="28"/>
          <w:szCs w:val="32"/>
        </w:rPr>
      </w:pPr>
      <w:bookmarkStart w:id="110" w:name="_Toc351203492"/>
      <w:r>
        <w:rPr>
          <w:rFonts w:eastAsia="黑体"/>
          <w:b/>
          <w:sz w:val="28"/>
          <w:szCs w:val="32"/>
        </w:rPr>
        <w:t>十</w:t>
      </w:r>
      <w:r>
        <w:rPr>
          <w:rFonts w:hint="eastAsia" w:eastAsia="黑体"/>
          <w:b/>
          <w:sz w:val="28"/>
          <w:szCs w:val="32"/>
        </w:rPr>
        <w:t>一</w:t>
      </w:r>
      <w:r>
        <w:rPr>
          <w:rFonts w:eastAsia="黑体"/>
          <w:b/>
          <w:sz w:val="28"/>
          <w:szCs w:val="32"/>
        </w:rPr>
        <w:t>、合同生效</w:t>
      </w:r>
      <w:bookmarkEnd w:id="110"/>
    </w:p>
    <w:p w14:paraId="7B21CF5E">
      <w:pPr>
        <w:spacing w:line="360" w:lineRule="auto"/>
        <w:ind w:firstLine="420" w:firstLineChars="200"/>
        <w:rPr>
          <w:rFonts w:ascii="宋体" w:hAnsi="宋体"/>
          <w:bCs/>
          <w:szCs w:val="21"/>
        </w:rPr>
      </w:pPr>
      <w:r>
        <w:rPr>
          <w:rFonts w:ascii="宋体" w:hAnsi="宋体"/>
          <w:bCs/>
          <w:szCs w:val="21"/>
        </w:rPr>
        <w:t>本合同自</w:t>
      </w:r>
      <w:r>
        <w:rPr>
          <w:rFonts w:hint="eastAsia" w:ascii="宋体" w:hAnsi="宋体"/>
          <w:szCs w:val="21"/>
          <w:u w:val="single"/>
        </w:rPr>
        <w:t>双方签字和盖章后</w:t>
      </w:r>
      <w:r>
        <w:rPr>
          <w:rFonts w:ascii="宋体" w:hAnsi="宋体"/>
          <w:bCs/>
          <w:szCs w:val="21"/>
        </w:rPr>
        <w:t>生效。</w:t>
      </w:r>
    </w:p>
    <w:p w14:paraId="5B1D5616">
      <w:pPr>
        <w:spacing w:line="360" w:lineRule="auto"/>
        <w:rPr>
          <w:rFonts w:eastAsia="黑体"/>
          <w:b/>
          <w:sz w:val="28"/>
          <w:szCs w:val="32"/>
        </w:rPr>
      </w:pPr>
      <w:bookmarkStart w:id="111" w:name="_Toc351203493"/>
      <w:r>
        <w:rPr>
          <w:rFonts w:eastAsia="黑体"/>
          <w:b/>
          <w:sz w:val="28"/>
          <w:szCs w:val="32"/>
        </w:rPr>
        <w:t>十</w:t>
      </w:r>
      <w:r>
        <w:rPr>
          <w:rFonts w:hint="eastAsia" w:eastAsia="黑体"/>
          <w:b/>
          <w:sz w:val="28"/>
          <w:szCs w:val="32"/>
        </w:rPr>
        <w:t>二</w:t>
      </w:r>
      <w:r>
        <w:rPr>
          <w:rFonts w:eastAsia="黑体"/>
          <w:b/>
          <w:sz w:val="28"/>
          <w:szCs w:val="32"/>
        </w:rPr>
        <w:t>、合同份数</w:t>
      </w:r>
      <w:bookmarkEnd w:id="111"/>
    </w:p>
    <w:p w14:paraId="0F7C7D76">
      <w:pPr>
        <w:spacing w:line="360" w:lineRule="auto"/>
        <w:ind w:firstLine="420" w:firstLineChars="200"/>
        <w:rPr>
          <w:rFonts w:ascii="宋体" w:hAnsi="宋体"/>
          <w:bCs/>
          <w:szCs w:val="21"/>
        </w:rPr>
      </w:pPr>
      <w:r>
        <w:rPr>
          <w:rFonts w:ascii="宋体" w:hAnsi="宋体"/>
          <w:bCs/>
          <w:szCs w:val="21"/>
        </w:rPr>
        <w:t>本合同一式</w:t>
      </w:r>
      <w:r>
        <w:rPr>
          <w:rFonts w:hint="eastAsia" w:ascii="宋体" w:hAnsi="宋体"/>
          <w:szCs w:val="21"/>
          <w:u w:val="single"/>
        </w:rPr>
        <w:t xml:space="preserve">捌 </w:t>
      </w:r>
      <w:r>
        <w:rPr>
          <w:rFonts w:ascii="宋体" w:hAnsi="宋体"/>
          <w:bCs/>
          <w:szCs w:val="21"/>
        </w:rPr>
        <w:t>份</w:t>
      </w:r>
      <w:r>
        <w:rPr>
          <w:rFonts w:hint="eastAsia" w:ascii="宋体" w:hAnsi="宋体"/>
          <w:bCs/>
          <w:szCs w:val="21"/>
        </w:rPr>
        <w:t>，其中正本</w:t>
      </w:r>
      <w:r>
        <w:rPr>
          <w:rFonts w:hint="eastAsia" w:ascii="宋体" w:hAnsi="宋体"/>
          <w:szCs w:val="21"/>
          <w:u w:val="single"/>
        </w:rPr>
        <w:t xml:space="preserve">贰 </w:t>
      </w:r>
      <w:r>
        <w:rPr>
          <w:rFonts w:hint="eastAsia" w:ascii="宋体" w:hAnsi="宋体"/>
          <w:bCs/>
          <w:szCs w:val="21"/>
        </w:rPr>
        <w:t>份，副本</w:t>
      </w:r>
      <w:r>
        <w:rPr>
          <w:rFonts w:hint="eastAsia" w:ascii="宋体" w:hAnsi="宋体"/>
          <w:szCs w:val="21"/>
          <w:u w:val="single"/>
        </w:rPr>
        <w:t xml:space="preserve">陆 </w:t>
      </w:r>
      <w:r>
        <w:rPr>
          <w:rFonts w:hint="eastAsia" w:ascii="宋体" w:hAnsi="宋体"/>
          <w:bCs/>
          <w:szCs w:val="21"/>
        </w:rPr>
        <w:t>份</w:t>
      </w:r>
      <w:r>
        <w:rPr>
          <w:rFonts w:ascii="宋体" w:hAnsi="宋体"/>
          <w:bCs/>
          <w:szCs w:val="21"/>
        </w:rPr>
        <w:t>，均具有同等法律效力，发包人执</w:t>
      </w:r>
      <w:r>
        <w:rPr>
          <w:rFonts w:hint="eastAsia" w:ascii="宋体" w:hAnsi="宋体"/>
          <w:szCs w:val="21"/>
          <w:u w:val="single"/>
        </w:rPr>
        <w:t xml:space="preserve"> 肆 </w:t>
      </w:r>
      <w:r>
        <w:rPr>
          <w:rFonts w:ascii="宋体" w:hAnsi="宋体"/>
          <w:bCs/>
          <w:szCs w:val="21"/>
        </w:rPr>
        <w:t>份，承包人执</w:t>
      </w:r>
      <w:r>
        <w:rPr>
          <w:rFonts w:hint="eastAsia" w:ascii="宋体" w:hAnsi="宋体"/>
          <w:szCs w:val="21"/>
          <w:u w:val="single"/>
        </w:rPr>
        <w:t xml:space="preserve"> 肆 </w:t>
      </w:r>
      <w:r>
        <w:rPr>
          <w:rFonts w:ascii="宋体" w:hAnsi="宋体"/>
          <w:bCs/>
          <w:szCs w:val="21"/>
        </w:rPr>
        <w:t>份。</w:t>
      </w:r>
    </w:p>
    <w:p w14:paraId="35E5C7D2">
      <w:pPr>
        <w:spacing w:line="360" w:lineRule="auto"/>
        <w:ind w:firstLine="420" w:firstLineChars="200"/>
        <w:rPr>
          <w:rFonts w:ascii="宋体" w:hAnsi="宋体"/>
          <w:bCs/>
          <w:szCs w:val="21"/>
        </w:rPr>
        <w:sectPr>
          <w:pgSz w:w="11906" w:h="16838"/>
          <w:pgMar w:top="1440" w:right="1800" w:bottom="1440" w:left="1800" w:header="851" w:footer="992" w:gutter="0"/>
          <w:cols w:space="720" w:num="1"/>
          <w:docGrid w:type="lines" w:linePitch="312" w:charSpace="0"/>
        </w:sectPr>
      </w:pPr>
      <w:bookmarkStart w:id="112" w:name="_Toc351203494"/>
    </w:p>
    <w:p w14:paraId="4B2FA6B8">
      <w:pPr>
        <w:spacing w:line="360" w:lineRule="auto"/>
        <w:ind w:firstLine="420" w:firstLineChars="200"/>
        <w:rPr>
          <w:rFonts w:ascii="宋体" w:hAnsi="宋体"/>
          <w:bCs/>
          <w:szCs w:val="21"/>
        </w:rPr>
      </w:pPr>
      <w:r>
        <w:rPr>
          <w:rFonts w:hint="eastAsia" w:ascii="宋体" w:hAnsi="宋体"/>
          <w:bCs/>
          <w:szCs w:val="21"/>
        </w:rPr>
        <w:t>发包人：  (公章)</w:t>
      </w:r>
    </w:p>
    <w:p w14:paraId="7E1BBC1A">
      <w:pPr>
        <w:spacing w:line="360" w:lineRule="auto"/>
        <w:ind w:firstLine="420" w:firstLineChars="200"/>
        <w:rPr>
          <w:rFonts w:ascii="宋体" w:hAnsi="宋体"/>
          <w:bCs/>
          <w:szCs w:val="21"/>
        </w:rPr>
      </w:pPr>
      <w:r>
        <w:rPr>
          <w:rFonts w:hint="eastAsia" w:ascii="宋体" w:hAnsi="宋体"/>
          <w:bCs/>
          <w:szCs w:val="21"/>
        </w:rPr>
        <w:t>法定代表人或其委托代理人：</w:t>
      </w:r>
    </w:p>
    <w:p w14:paraId="090C3ACB">
      <w:pPr>
        <w:spacing w:line="360" w:lineRule="auto"/>
        <w:ind w:firstLine="420" w:firstLineChars="200"/>
        <w:rPr>
          <w:rFonts w:ascii="宋体" w:hAnsi="宋体"/>
          <w:bCs/>
          <w:szCs w:val="21"/>
        </w:rPr>
      </w:pPr>
      <w:r>
        <w:rPr>
          <w:rFonts w:hint="eastAsia" w:ascii="宋体" w:hAnsi="宋体"/>
          <w:bCs/>
          <w:szCs w:val="21"/>
        </w:rPr>
        <w:t>组织机构代码：</w:t>
      </w:r>
    </w:p>
    <w:p w14:paraId="35382F46">
      <w:pPr>
        <w:spacing w:line="360" w:lineRule="auto"/>
        <w:ind w:firstLine="420" w:firstLineChars="200"/>
        <w:rPr>
          <w:rFonts w:ascii="宋体" w:hAnsi="宋体"/>
          <w:bCs/>
          <w:szCs w:val="21"/>
        </w:rPr>
      </w:pPr>
      <w:r>
        <w:rPr>
          <w:rFonts w:hint="eastAsia" w:ascii="宋体" w:hAnsi="宋体"/>
          <w:bCs/>
          <w:szCs w:val="21"/>
        </w:rPr>
        <w:t>地  址：</w:t>
      </w:r>
    </w:p>
    <w:p w14:paraId="477A6CBE">
      <w:pPr>
        <w:spacing w:line="360" w:lineRule="auto"/>
        <w:ind w:firstLine="420" w:firstLineChars="200"/>
        <w:rPr>
          <w:rFonts w:ascii="宋体" w:hAnsi="宋体"/>
          <w:bCs/>
          <w:szCs w:val="21"/>
        </w:rPr>
      </w:pPr>
      <w:r>
        <w:rPr>
          <w:rFonts w:hint="eastAsia" w:ascii="宋体" w:hAnsi="宋体"/>
          <w:bCs/>
          <w:szCs w:val="21"/>
        </w:rPr>
        <w:t>邮政编码：</w:t>
      </w:r>
    </w:p>
    <w:p w14:paraId="3EAA8679">
      <w:pPr>
        <w:spacing w:line="360" w:lineRule="auto"/>
        <w:ind w:firstLine="420" w:firstLineChars="200"/>
        <w:rPr>
          <w:rFonts w:ascii="宋体" w:hAnsi="宋体"/>
          <w:bCs/>
          <w:szCs w:val="21"/>
        </w:rPr>
      </w:pPr>
      <w:r>
        <w:rPr>
          <w:rFonts w:hint="eastAsia" w:ascii="宋体" w:hAnsi="宋体"/>
          <w:bCs/>
          <w:szCs w:val="21"/>
        </w:rPr>
        <w:t>法定代表人：</w:t>
      </w:r>
    </w:p>
    <w:p w14:paraId="2EF59471">
      <w:pPr>
        <w:spacing w:line="360" w:lineRule="auto"/>
        <w:ind w:firstLine="420" w:firstLineChars="200"/>
        <w:rPr>
          <w:rFonts w:ascii="宋体" w:hAnsi="宋体"/>
          <w:bCs/>
          <w:szCs w:val="21"/>
        </w:rPr>
      </w:pPr>
      <w:r>
        <w:rPr>
          <w:rFonts w:hint="eastAsia" w:ascii="宋体" w:hAnsi="宋体"/>
          <w:bCs/>
          <w:szCs w:val="21"/>
        </w:rPr>
        <w:t>委托代理人：</w:t>
      </w:r>
    </w:p>
    <w:p w14:paraId="1E4C8DA4">
      <w:pPr>
        <w:spacing w:line="360" w:lineRule="auto"/>
        <w:ind w:firstLine="420" w:firstLineChars="200"/>
        <w:rPr>
          <w:rFonts w:ascii="宋体" w:hAnsi="宋体"/>
          <w:bCs/>
          <w:szCs w:val="21"/>
        </w:rPr>
      </w:pPr>
      <w:r>
        <w:rPr>
          <w:rFonts w:hint="eastAsia" w:ascii="宋体" w:hAnsi="宋体"/>
          <w:bCs/>
          <w:szCs w:val="21"/>
        </w:rPr>
        <w:t>电  话：</w:t>
      </w:r>
    </w:p>
    <w:p w14:paraId="79E29734">
      <w:pPr>
        <w:spacing w:line="360" w:lineRule="auto"/>
        <w:ind w:firstLine="420" w:firstLineChars="200"/>
        <w:rPr>
          <w:rFonts w:ascii="宋体" w:hAnsi="宋体"/>
          <w:bCs/>
          <w:szCs w:val="21"/>
        </w:rPr>
      </w:pPr>
      <w:r>
        <w:rPr>
          <w:rFonts w:hint="eastAsia" w:ascii="宋体" w:hAnsi="宋体"/>
          <w:bCs/>
          <w:szCs w:val="21"/>
        </w:rPr>
        <w:t>传  真：</w:t>
      </w:r>
    </w:p>
    <w:p w14:paraId="04CFA2CD">
      <w:pPr>
        <w:spacing w:line="360" w:lineRule="auto"/>
        <w:ind w:firstLine="420" w:firstLineChars="200"/>
        <w:rPr>
          <w:rFonts w:ascii="宋体" w:hAnsi="宋体"/>
          <w:bCs/>
          <w:szCs w:val="21"/>
        </w:rPr>
      </w:pPr>
      <w:r>
        <w:rPr>
          <w:rFonts w:hint="eastAsia" w:ascii="宋体" w:hAnsi="宋体"/>
          <w:bCs/>
          <w:szCs w:val="21"/>
        </w:rPr>
        <w:t>电子信箱：</w:t>
      </w:r>
    </w:p>
    <w:p w14:paraId="2CA53E28">
      <w:pPr>
        <w:spacing w:line="360" w:lineRule="auto"/>
        <w:ind w:firstLine="420" w:firstLineChars="200"/>
        <w:rPr>
          <w:rFonts w:ascii="宋体" w:hAnsi="宋体"/>
          <w:bCs/>
          <w:szCs w:val="21"/>
        </w:rPr>
      </w:pPr>
      <w:r>
        <w:rPr>
          <w:rFonts w:hint="eastAsia" w:ascii="宋体" w:hAnsi="宋体"/>
          <w:bCs/>
          <w:szCs w:val="21"/>
        </w:rPr>
        <w:t>开户银行：</w:t>
      </w:r>
    </w:p>
    <w:p w14:paraId="5A4E5A66">
      <w:pPr>
        <w:spacing w:line="360" w:lineRule="auto"/>
        <w:ind w:firstLine="420" w:firstLineChars="200"/>
        <w:rPr>
          <w:rFonts w:ascii="宋体" w:hAnsi="宋体"/>
          <w:bCs/>
          <w:szCs w:val="21"/>
        </w:rPr>
      </w:pPr>
      <w:r>
        <w:rPr>
          <w:rFonts w:hint="eastAsia" w:ascii="宋体" w:hAnsi="宋体"/>
          <w:bCs/>
          <w:szCs w:val="21"/>
        </w:rPr>
        <w:t>账  号：</w:t>
      </w:r>
    </w:p>
    <w:p w14:paraId="0AEEDB0B">
      <w:pPr>
        <w:spacing w:line="360" w:lineRule="auto"/>
        <w:ind w:firstLine="420" w:firstLineChars="200"/>
        <w:rPr>
          <w:rFonts w:ascii="宋体" w:hAnsi="宋体"/>
          <w:bCs/>
          <w:szCs w:val="21"/>
        </w:rPr>
      </w:pPr>
      <w:r>
        <w:rPr>
          <w:rFonts w:hint="eastAsia" w:ascii="宋体" w:hAnsi="宋体"/>
          <w:bCs/>
          <w:szCs w:val="21"/>
        </w:rPr>
        <w:t>承包人：  (公章)</w:t>
      </w:r>
    </w:p>
    <w:p w14:paraId="0855DC43">
      <w:pPr>
        <w:spacing w:line="360" w:lineRule="auto"/>
        <w:ind w:firstLine="420" w:firstLineChars="200"/>
        <w:rPr>
          <w:rFonts w:ascii="宋体" w:hAnsi="宋体"/>
          <w:bCs/>
          <w:szCs w:val="21"/>
        </w:rPr>
      </w:pPr>
      <w:r>
        <w:rPr>
          <w:rFonts w:hint="eastAsia" w:ascii="宋体" w:hAnsi="宋体"/>
          <w:bCs/>
          <w:szCs w:val="21"/>
        </w:rPr>
        <w:t>法定代表人或其委托代理人：</w:t>
      </w:r>
    </w:p>
    <w:p w14:paraId="60EFB0B5">
      <w:pPr>
        <w:spacing w:line="360" w:lineRule="auto"/>
        <w:ind w:firstLine="420" w:firstLineChars="200"/>
        <w:rPr>
          <w:rFonts w:ascii="宋体" w:hAnsi="宋体"/>
          <w:bCs/>
          <w:szCs w:val="21"/>
        </w:rPr>
      </w:pPr>
      <w:r>
        <w:rPr>
          <w:rFonts w:hint="eastAsia" w:ascii="宋体" w:hAnsi="宋体"/>
          <w:bCs/>
          <w:szCs w:val="21"/>
        </w:rPr>
        <w:t>组织机构代码：</w:t>
      </w:r>
    </w:p>
    <w:p w14:paraId="665AFCB3">
      <w:pPr>
        <w:spacing w:line="360" w:lineRule="auto"/>
        <w:ind w:firstLine="420" w:firstLineChars="200"/>
        <w:rPr>
          <w:rFonts w:ascii="宋体" w:hAnsi="宋体"/>
          <w:bCs/>
          <w:szCs w:val="21"/>
        </w:rPr>
      </w:pPr>
      <w:r>
        <w:rPr>
          <w:rFonts w:hint="eastAsia" w:ascii="宋体" w:hAnsi="宋体"/>
          <w:bCs/>
          <w:szCs w:val="21"/>
        </w:rPr>
        <w:t>地  址：</w:t>
      </w:r>
      <w:r>
        <w:rPr>
          <w:rFonts w:hint="eastAsia" w:ascii="宋体" w:hAnsi="宋体"/>
          <w:bCs/>
          <w:szCs w:val="21"/>
          <w:u w:val="single"/>
        </w:rPr>
        <w:t xml:space="preserve"> </w:t>
      </w:r>
    </w:p>
    <w:p w14:paraId="4B9D3CEA">
      <w:pPr>
        <w:spacing w:line="360" w:lineRule="auto"/>
        <w:ind w:firstLine="420" w:firstLineChars="200"/>
        <w:rPr>
          <w:rFonts w:ascii="宋体" w:hAnsi="宋体"/>
          <w:bCs/>
          <w:szCs w:val="21"/>
        </w:rPr>
      </w:pPr>
      <w:r>
        <w:rPr>
          <w:rFonts w:hint="eastAsia" w:ascii="宋体" w:hAnsi="宋体"/>
          <w:bCs/>
          <w:szCs w:val="21"/>
        </w:rPr>
        <w:t>邮政编码：</w:t>
      </w:r>
      <w:r>
        <w:rPr>
          <w:rFonts w:ascii="宋体" w:hAnsi="宋体"/>
          <w:bCs/>
          <w:szCs w:val="21"/>
          <w:u w:val="single"/>
        </w:rPr>
        <w:t xml:space="preserve"> </w:t>
      </w:r>
      <w:r>
        <w:rPr>
          <w:rFonts w:hint="eastAsia" w:ascii="宋体" w:hAnsi="宋体"/>
          <w:bCs/>
          <w:szCs w:val="21"/>
        </w:rPr>
        <w:t xml:space="preserve"> </w:t>
      </w:r>
    </w:p>
    <w:p w14:paraId="6A36A756">
      <w:pPr>
        <w:spacing w:line="360" w:lineRule="auto"/>
        <w:ind w:firstLine="420" w:firstLineChars="200"/>
        <w:rPr>
          <w:rFonts w:ascii="宋体" w:hAnsi="宋体"/>
          <w:bCs/>
          <w:szCs w:val="21"/>
        </w:rPr>
      </w:pPr>
      <w:r>
        <w:rPr>
          <w:rFonts w:hint="eastAsia" w:ascii="宋体" w:hAnsi="宋体"/>
          <w:bCs/>
          <w:szCs w:val="21"/>
        </w:rPr>
        <w:t>法定代表人：</w:t>
      </w:r>
    </w:p>
    <w:p w14:paraId="4DBE6F46">
      <w:pPr>
        <w:spacing w:line="360" w:lineRule="auto"/>
        <w:ind w:firstLine="420" w:firstLineChars="200"/>
        <w:rPr>
          <w:rFonts w:ascii="宋体" w:hAnsi="宋体"/>
          <w:bCs/>
          <w:szCs w:val="21"/>
        </w:rPr>
      </w:pPr>
      <w:r>
        <w:rPr>
          <w:rFonts w:hint="eastAsia" w:ascii="宋体" w:hAnsi="宋体"/>
          <w:bCs/>
          <w:szCs w:val="21"/>
        </w:rPr>
        <w:t>委托代理人：</w:t>
      </w:r>
    </w:p>
    <w:p w14:paraId="1DBFB2E3">
      <w:pPr>
        <w:spacing w:line="360" w:lineRule="auto"/>
        <w:ind w:firstLine="420" w:firstLineChars="200"/>
        <w:rPr>
          <w:rFonts w:ascii="宋体" w:hAnsi="宋体"/>
          <w:bCs/>
          <w:szCs w:val="21"/>
        </w:rPr>
      </w:pPr>
      <w:r>
        <w:rPr>
          <w:rFonts w:hint="eastAsia" w:ascii="宋体" w:hAnsi="宋体"/>
          <w:bCs/>
          <w:szCs w:val="21"/>
        </w:rPr>
        <w:t xml:space="preserve">电  话： </w:t>
      </w:r>
      <w:r>
        <w:rPr>
          <w:rFonts w:ascii="宋体" w:hAnsi="宋体"/>
          <w:bCs/>
          <w:szCs w:val="21"/>
          <w:u w:val="single"/>
        </w:rPr>
        <w:t xml:space="preserve"> </w:t>
      </w:r>
      <w:r>
        <w:rPr>
          <w:rFonts w:hint="eastAsia" w:ascii="宋体" w:hAnsi="宋体"/>
          <w:bCs/>
          <w:szCs w:val="21"/>
        </w:rPr>
        <w:t xml:space="preserve"> </w:t>
      </w:r>
    </w:p>
    <w:p w14:paraId="5E3E7BDD">
      <w:pPr>
        <w:spacing w:line="360" w:lineRule="auto"/>
        <w:ind w:firstLine="420" w:firstLineChars="200"/>
        <w:rPr>
          <w:rFonts w:ascii="宋体" w:hAnsi="宋体"/>
          <w:bCs/>
          <w:szCs w:val="21"/>
        </w:rPr>
      </w:pPr>
      <w:r>
        <w:rPr>
          <w:rFonts w:hint="eastAsia" w:ascii="宋体" w:hAnsi="宋体"/>
          <w:bCs/>
          <w:szCs w:val="21"/>
        </w:rPr>
        <w:t>传  真：/</w:t>
      </w:r>
    </w:p>
    <w:p w14:paraId="1E22BF7A">
      <w:pPr>
        <w:spacing w:line="360" w:lineRule="auto"/>
        <w:ind w:firstLine="420" w:firstLineChars="200"/>
        <w:rPr>
          <w:rFonts w:ascii="宋体" w:hAnsi="宋体"/>
          <w:bCs/>
          <w:szCs w:val="21"/>
        </w:rPr>
      </w:pPr>
      <w:r>
        <w:rPr>
          <w:rFonts w:hint="eastAsia" w:ascii="宋体" w:hAnsi="宋体"/>
          <w:bCs/>
          <w:szCs w:val="21"/>
        </w:rPr>
        <w:t>电子信箱：/</w:t>
      </w:r>
    </w:p>
    <w:p w14:paraId="36187E44">
      <w:pPr>
        <w:spacing w:line="360" w:lineRule="auto"/>
        <w:ind w:firstLine="420" w:firstLineChars="200"/>
        <w:rPr>
          <w:rFonts w:ascii="宋体" w:hAnsi="宋体"/>
          <w:bCs/>
          <w:szCs w:val="21"/>
        </w:rPr>
      </w:pPr>
      <w:r>
        <w:rPr>
          <w:rFonts w:hint="eastAsia" w:ascii="宋体" w:hAnsi="宋体"/>
          <w:bCs/>
          <w:szCs w:val="21"/>
        </w:rPr>
        <w:t>开户银行：</w:t>
      </w:r>
      <w:r>
        <w:rPr>
          <w:rFonts w:hint="eastAsia" w:ascii="宋体" w:hAnsi="宋体"/>
          <w:bCs/>
          <w:szCs w:val="21"/>
          <w:u w:val="single"/>
        </w:rPr>
        <w:t xml:space="preserve"> </w:t>
      </w:r>
    </w:p>
    <w:p w14:paraId="64B0D376">
      <w:pPr>
        <w:spacing w:line="360" w:lineRule="auto"/>
        <w:ind w:firstLine="420" w:firstLineChars="200"/>
        <w:rPr>
          <w:rFonts w:ascii="宋体" w:hAnsi="宋体"/>
          <w:bCs/>
          <w:szCs w:val="21"/>
        </w:rPr>
      </w:pPr>
      <w:r>
        <w:rPr>
          <w:rFonts w:hint="eastAsia" w:ascii="宋体" w:hAnsi="宋体"/>
          <w:bCs/>
          <w:szCs w:val="21"/>
        </w:rPr>
        <w:t>账 号：</w:t>
      </w:r>
      <w:r>
        <w:rPr>
          <w:rFonts w:ascii="宋体" w:hAnsi="宋体"/>
          <w:bCs/>
          <w:szCs w:val="21"/>
          <w:u w:val="single"/>
        </w:rPr>
        <w:t xml:space="preserve"> </w:t>
      </w:r>
    </w:p>
    <w:p w14:paraId="6EAD511F">
      <w:pPr>
        <w:spacing w:line="360" w:lineRule="auto"/>
        <w:ind w:firstLine="420" w:firstLineChars="200"/>
        <w:rPr>
          <w:rFonts w:ascii="宋体" w:hAnsi="宋体"/>
          <w:bCs/>
          <w:szCs w:val="21"/>
        </w:rPr>
        <w:sectPr>
          <w:type w:val="continuous"/>
          <w:pgSz w:w="11906" w:h="16838"/>
          <w:pgMar w:top="1440" w:right="1800" w:bottom="1440" w:left="1800" w:header="851" w:footer="992" w:gutter="0"/>
          <w:cols w:space="425" w:num="2"/>
          <w:docGrid w:type="lines" w:linePitch="312" w:charSpace="0"/>
        </w:sectPr>
      </w:pPr>
    </w:p>
    <w:bookmarkEnd w:id="112"/>
    <w:p w14:paraId="0A0E0AC0">
      <w:pPr>
        <w:spacing w:line="360" w:lineRule="auto"/>
        <w:rPr>
          <w:rFonts w:ascii="宋体" w:hAnsi="宋体"/>
          <w:szCs w:val="21"/>
        </w:rPr>
      </w:pPr>
    </w:p>
    <w:p w14:paraId="24AF85D0">
      <w:pPr>
        <w:spacing w:line="360" w:lineRule="auto"/>
        <w:rPr>
          <w:rFonts w:ascii="宋体" w:hAnsi="宋体"/>
          <w:szCs w:val="21"/>
        </w:rPr>
      </w:pPr>
      <w:r>
        <w:rPr>
          <w:rFonts w:hint="eastAsia" w:ascii="宋体" w:hAnsi="宋体"/>
          <w:szCs w:val="21"/>
        </w:rPr>
        <w:t>附件1：</w:t>
      </w:r>
    </w:p>
    <w:p w14:paraId="7CAD35F4">
      <w:pPr>
        <w:rPr>
          <w:rFonts w:ascii="宋体" w:hAnsi="宋体"/>
          <w:szCs w:val="21"/>
        </w:rPr>
      </w:pPr>
    </w:p>
    <w:p w14:paraId="1BFBD717">
      <w:pPr>
        <w:jc w:val="center"/>
        <w:rPr>
          <w:rFonts w:ascii="宋体" w:hAnsi="宋体"/>
          <w:szCs w:val="21"/>
        </w:rPr>
      </w:pPr>
      <w:bookmarkStart w:id="113" w:name="OLE_LINK34"/>
      <w:bookmarkStart w:id="114" w:name="OLE_LINK33"/>
      <w:r>
        <w:rPr>
          <w:rFonts w:hint="eastAsia" w:ascii="宋体" w:hAnsi="宋体"/>
          <w:szCs w:val="21"/>
        </w:rPr>
        <w:t>维修质量保证书</w:t>
      </w:r>
      <w:bookmarkEnd w:id="113"/>
      <w:bookmarkEnd w:id="114"/>
      <w:r>
        <w:rPr>
          <w:rFonts w:hint="eastAsia" w:ascii="宋体" w:hAnsi="宋体"/>
          <w:szCs w:val="21"/>
        </w:rPr>
        <w:t>（通用模板）</w:t>
      </w:r>
    </w:p>
    <w:p w14:paraId="2777542A">
      <w:pPr>
        <w:rPr>
          <w:rFonts w:ascii="宋体" w:hAnsi="宋体"/>
          <w:szCs w:val="21"/>
        </w:rPr>
      </w:pPr>
    </w:p>
    <w:p w14:paraId="27E49BB0">
      <w:pPr>
        <w:rPr>
          <w:rFonts w:ascii="宋体" w:hAnsi="宋体"/>
          <w:szCs w:val="21"/>
        </w:rPr>
      </w:pPr>
      <w:r>
        <w:rPr>
          <w:rFonts w:hint="eastAsia" w:ascii="宋体" w:hAnsi="宋体"/>
          <w:szCs w:val="21"/>
        </w:rPr>
        <w:t>致： （托修方名称）</w:t>
      </w:r>
    </w:p>
    <w:p w14:paraId="08356CE8">
      <w:pPr>
        <w:rPr>
          <w:rFonts w:ascii="宋体" w:hAnsi="宋体"/>
          <w:szCs w:val="21"/>
        </w:rPr>
      </w:pPr>
    </w:p>
    <w:p w14:paraId="049FBC14">
      <w:pPr>
        <w:rPr>
          <w:rFonts w:ascii="宋体" w:hAnsi="宋体"/>
          <w:szCs w:val="21"/>
        </w:rPr>
      </w:pPr>
      <w:r>
        <w:rPr>
          <w:rFonts w:hint="eastAsia" w:ascii="宋体" w:hAnsi="宋体"/>
          <w:szCs w:val="21"/>
        </w:rPr>
        <w:t>本保证书是针对 （项目/设备名称） 采购项目出具的质量保证文件。为确保维修质量，明确保修责任，我方（承修方）特此承诺如下：</w:t>
      </w:r>
    </w:p>
    <w:p w14:paraId="7EFEFCCA">
      <w:pPr>
        <w:rPr>
          <w:rFonts w:ascii="宋体" w:hAnsi="宋体"/>
          <w:szCs w:val="21"/>
        </w:rPr>
      </w:pPr>
    </w:p>
    <w:p w14:paraId="1734D410">
      <w:pPr>
        <w:rPr>
          <w:rFonts w:ascii="宋体" w:hAnsi="宋体"/>
          <w:szCs w:val="21"/>
        </w:rPr>
      </w:pPr>
      <w:r>
        <w:rPr>
          <w:rFonts w:hint="eastAsia" w:ascii="宋体" w:hAnsi="宋体"/>
          <w:szCs w:val="21"/>
        </w:rPr>
        <w:t>一、保修期限</w:t>
      </w:r>
    </w:p>
    <w:p w14:paraId="60B814E5">
      <w:pPr>
        <w:rPr>
          <w:rFonts w:ascii="宋体" w:hAnsi="宋体"/>
          <w:szCs w:val="21"/>
        </w:rPr>
      </w:pPr>
      <w:r>
        <w:rPr>
          <w:rFonts w:hint="eastAsia" w:ascii="宋体" w:hAnsi="宋体"/>
          <w:szCs w:val="21"/>
        </w:rPr>
        <w:t>1. 本项目的质量保修期自采购完成并经你方验收合格之日起计算。</w:t>
      </w:r>
    </w:p>
    <w:p w14:paraId="1106800B">
      <w:pPr>
        <w:rPr>
          <w:rFonts w:ascii="宋体" w:hAnsi="宋体"/>
          <w:szCs w:val="21"/>
        </w:rPr>
      </w:pPr>
      <w:r>
        <w:rPr>
          <w:rFonts w:hint="eastAsia" w:ascii="宋体" w:hAnsi="宋体"/>
          <w:szCs w:val="21"/>
        </w:rPr>
        <w:t>2. 双方约定本维修项目的保修期为 ______ 个月/年。（若涉及国家强制标准，则不得低于国家标准）</w:t>
      </w:r>
    </w:p>
    <w:p w14:paraId="416ADA39">
      <w:pPr>
        <w:rPr>
          <w:rFonts w:ascii="宋体" w:hAnsi="宋体"/>
          <w:szCs w:val="21"/>
        </w:rPr>
      </w:pPr>
    </w:p>
    <w:p w14:paraId="3B428756">
      <w:pPr>
        <w:rPr>
          <w:rFonts w:ascii="宋体" w:hAnsi="宋体"/>
          <w:szCs w:val="21"/>
        </w:rPr>
      </w:pPr>
      <w:r>
        <w:rPr>
          <w:rFonts w:hint="eastAsia" w:ascii="宋体" w:hAnsi="宋体"/>
          <w:szCs w:val="21"/>
        </w:rPr>
        <w:t>二、保修范围</w:t>
      </w:r>
    </w:p>
    <w:p w14:paraId="024EC4CA">
      <w:pPr>
        <w:rPr>
          <w:rFonts w:ascii="宋体" w:hAnsi="宋体"/>
          <w:szCs w:val="21"/>
        </w:rPr>
      </w:pPr>
      <w:r>
        <w:rPr>
          <w:rFonts w:hint="eastAsia" w:ascii="宋体" w:hAnsi="宋体"/>
          <w:szCs w:val="21"/>
        </w:rPr>
        <w:t>1. 在保修期内，因我方产品质量原因造成的质量缺陷，我方将负责免费维修。</w:t>
      </w:r>
    </w:p>
    <w:p w14:paraId="22E024FE">
      <w:pPr>
        <w:rPr>
          <w:rFonts w:ascii="宋体" w:hAnsi="宋体"/>
          <w:szCs w:val="21"/>
        </w:rPr>
      </w:pPr>
      <w:r>
        <w:rPr>
          <w:rFonts w:hint="eastAsia" w:ascii="宋体" w:hAnsi="宋体"/>
          <w:szCs w:val="21"/>
        </w:rPr>
        <w:t>2. 具体保修内容包含：____________________（如：运行异常、功能失效等）。</w:t>
      </w:r>
    </w:p>
    <w:p w14:paraId="0BF7F32E">
      <w:pPr>
        <w:rPr>
          <w:rFonts w:ascii="宋体" w:hAnsi="宋体"/>
          <w:szCs w:val="21"/>
        </w:rPr>
      </w:pPr>
    </w:p>
    <w:p w14:paraId="4238DA17">
      <w:pPr>
        <w:rPr>
          <w:rFonts w:ascii="宋体" w:hAnsi="宋体"/>
          <w:szCs w:val="21"/>
        </w:rPr>
      </w:pPr>
      <w:r>
        <w:rPr>
          <w:rFonts w:hint="eastAsia" w:ascii="宋体" w:hAnsi="宋体"/>
          <w:szCs w:val="21"/>
        </w:rPr>
        <w:t>三、保修责任</w:t>
      </w:r>
    </w:p>
    <w:p w14:paraId="1A138EE8">
      <w:pPr>
        <w:rPr>
          <w:rFonts w:ascii="宋体" w:hAnsi="宋体"/>
          <w:szCs w:val="21"/>
        </w:rPr>
      </w:pPr>
      <w:r>
        <w:rPr>
          <w:rFonts w:hint="eastAsia" w:ascii="宋体" w:hAnsi="宋体"/>
          <w:szCs w:val="21"/>
        </w:rPr>
        <w:t>1. 响应时间：接到校方的维修通知后，我方承诺在 ____ 小时内响应， ____ 个工作日内派人到场勘查处理。</w:t>
      </w:r>
    </w:p>
    <w:p w14:paraId="7B5E18FE">
      <w:pPr>
        <w:rPr>
          <w:rFonts w:ascii="宋体" w:hAnsi="宋体"/>
          <w:szCs w:val="21"/>
        </w:rPr>
      </w:pPr>
      <w:r>
        <w:rPr>
          <w:rFonts w:hint="eastAsia" w:ascii="宋体" w:hAnsi="宋体"/>
          <w:szCs w:val="21"/>
        </w:rPr>
        <w:t>2. 免费维修：属于保修范围的问题，我方免费维修，并承担因维修产生的材料费、人工费、运输费等全部费用。</w:t>
      </w:r>
    </w:p>
    <w:p w14:paraId="63F1C9BF">
      <w:pPr>
        <w:rPr>
          <w:rFonts w:ascii="宋体" w:hAnsi="宋体"/>
          <w:szCs w:val="21"/>
        </w:rPr>
      </w:pPr>
      <w:r>
        <w:rPr>
          <w:rFonts w:hint="eastAsia" w:ascii="宋体" w:hAnsi="宋体"/>
          <w:szCs w:val="21"/>
        </w:rPr>
        <w:t>3. 再次保修：维修完成后，该部位的质量保修期将重新计算，期限与本保证书约定一致。</w:t>
      </w:r>
    </w:p>
    <w:p w14:paraId="4DD59FCB">
      <w:pPr>
        <w:rPr>
          <w:rFonts w:ascii="宋体" w:hAnsi="宋体"/>
          <w:szCs w:val="21"/>
        </w:rPr>
      </w:pPr>
    </w:p>
    <w:p w14:paraId="17600ECF">
      <w:pPr>
        <w:rPr>
          <w:rFonts w:ascii="宋体" w:hAnsi="宋体"/>
          <w:szCs w:val="21"/>
        </w:rPr>
      </w:pPr>
      <w:r>
        <w:rPr>
          <w:rFonts w:hint="eastAsia" w:ascii="宋体" w:hAnsi="宋体"/>
          <w:szCs w:val="21"/>
        </w:rPr>
        <w:t>四、不属于保修范围的情形</w:t>
      </w:r>
    </w:p>
    <w:p w14:paraId="5B24C96E">
      <w:pPr>
        <w:rPr>
          <w:rFonts w:ascii="宋体" w:hAnsi="宋体"/>
          <w:szCs w:val="21"/>
        </w:rPr>
      </w:pPr>
      <w:r>
        <w:rPr>
          <w:rFonts w:hint="eastAsia" w:ascii="宋体" w:hAnsi="宋体"/>
          <w:szCs w:val="21"/>
        </w:rPr>
        <w:t>若出现以下情况，维修将按收费处理：</w:t>
      </w:r>
    </w:p>
    <w:p w14:paraId="2D505D93">
      <w:pPr>
        <w:rPr>
          <w:rFonts w:ascii="宋体" w:hAnsi="宋体"/>
          <w:szCs w:val="21"/>
        </w:rPr>
      </w:pPr>
      <w:r>
        <w:rPr>
          <w:rFonts w:hint="eastAsia" w:ascii="宋体" w:hAnsi="宋体"/>
          <w:szCs w:val="21"/>
        </w:rPr>
        <w:t>1. 使用不当：因校方人员操作失误、人为损坏或超负荷运行导致的故障。</w:t>
      </w:r>
    </w:p>
    <w:p w14:paraId="7F22975B">
      <w:pPr>
        <w:rPr>
          <w:rFonts w:ascii="宋体" w:hAnsi="宋体"/>
          <w:szCs w:val="21"/>
        </w:rPr>
      </w:pPr>
      <w:r>
        <w:rPr>
          <w:rFonts w:hint="eastAsia" w:ascii="宋体" w:hAnsi="宋体"/>
          <w:szCs w:val="21"/>
        </w:rPr>
        <w:t>2. 意外灾害：因火灾、水灾、地震、雷击等不可抗力造成的损坏。</w:t>
      </w:r>
    </w:p>
    <w:p w14:paraId="6D157EC8">
      <w:pPr>
        <w:rPr>
          <w:rFonts w:ascii="宋体" w:hAnsi="宋体"/>
          <w:szCs w:val="21"/>
        </w:rPr>
      </w:pPr>
      <w:r>
        <w:rPr>
          <w:rFonts w:hint="eastAsia" w:ascii="宋体" w:hAnsi="宋体"/>
          <w:szCs w:val="21"/>
        </w:rPr>
        <w:t>3. 私自改动：未经我方同意，擅自拆卸、改装或委托第三方维修造成的损坏。</w:t>
      </w:r>
    </w:p>
    <w:p w14:paraId="6CADC141">
      <w:pPr>
        <w:rPr>
          <w:rFonts w:ascii="宋体" w:hAnsi="宋体"/>
          <w:szCs w:val="21"/>
        </w:rPr>
      </w:pPr>
    </w:p>
    <w:p w14:paraId="60DBCB87">
      <w:pPr>
        <w:rPr>
          <w:rFonts w:ascii="宋体" w:hAnsi="宋体"/>
          <w:szCs w:val="21"/>
        </w:rPr>
      </w:pPr>
      <w:r>
        <w:rPr>
          <w:rFonts w:hint="eastAsia" w:ascii="宋体" w:hAnsi="宋体"/>
          <w:szCs w:val="21"/>
        </w:rPr>
        <w:t>五、法律效力</w:t>
      </w:r>
    </w:p>
    <w:p w14:paraId="6B1BF00D">
      <w:pPr>
        <w:rPr>
          <w:rFonts w:ascii="宋体" w:hAnsi="宋体"/>
          <w:szCs w:val="21"/>
        </w:rPr>
      </w:pPr>
      <w:r>
        <w:rPr>
          <w:rFonts w:hint="eastAsia" w:ascii="宋体" w:hAnsi="宋体"/>
          <w:szCs w:val="21"/>
        </w:rPr>
        <w:t>本保证书作为双方维修合同的补充文件，与主合同具有同等法律效力。</w:t>
      </w:r>
    </w:p>
    <w:p w14:paraId="29D52626">
      <w:pPr>
        <w:rPr>
          <w:rFonts w:ascii="宋体" w:hAnsi="宋体"/>
          <w:szCs w:val="21"/>
        </w:rPr>
      </w:pPr>
    </w:p>
    <w:p w14:paraId="71254A5B">
      <w:pPr>
        <w:rPr>
          <w:rFonts w:ascii="宋体" w:hAnsi="宋体"/>
          <w:szCs w:val="21"/>
        </w:rPr>
      </w:pPr>
    </w:p>
    <w:p w14:paraId="3EA27AFF">
      <w:pPr>
        <w:rPr>
          <w:rFonts w:ascii="宋体" w:hAnsi="宋体"/>
          <w:szCs w:val="21"/>
        </w:rPr>
      </w:pPr>
    </w:p>
    <w:p w14:paraId="7A555EE0">
      <w:pPr>
        <w:ind w:firstLine="4620" w:firstLineChars="2200"/>
        <w:rPr>
          <w:rFonts w:ascii="宋体" w:hAnsi="宋体"/>
          <w:szCs w:val="21"/>
        </w:rPr>
      </w:pPr>
      <w:r>
        <w:rPr>
          <w:rFonts w:hint="eastAsia" w:ascii="宋体" w:hAnsi="宋体"/>
          <w:szCs w:val="21"/>
        </w:rPr>
        <w:t>承修方（盖章）： ________</w:t>
      </w:r>
    </w:p>
    <w:p w14:paraId="3825BA33">
      <w:pPr>
        <w:ind w:firstLine="4620" w:firstLineChars="2200"/>
        <w:rPr>
          <w:rFonts w:ascii="宋体" w:hAnsi="宋体"/>
          <w:szCs w:val="21"/>
        </w:rPr>
      </w:pPr>
      <w:r>
        <w:rPr>
          <w:rFonts w:hint="eastAsia" w:ascii="宋体" w:hAnsi="宋体"/>
          <w:szCs w:val="21"/>
        </w:rPr>
        <w:t>项目负责人签字： ________</w:t>
      </w:r>
    </w:p>
    <w:p w14:paraId="1A651610">
      <w:pPr>
        <w:ind w:firstLine="4620" w:firstLineChars="2200"/>
        <w:rPr>
          <w:rFonts w:ascii="宋体" w:hAnsi="宋体"/>
          <w:szCs w:val="21"/>
        </w:rPr>
      </w:pPr>
      <w:r>
        <w:rPr>
          <w:rFonts w:hint="eastAsia" w:ascii="宋体" w:hAnsi="宋体"/>
          <w:szCs w:val="21"/>
        </w:rPr>
        <w:t>日期： ________</w:t>
      </w:r>
    </w:p>
    <w:p w14:paraId="330C2DFE">
      <w:pPr>
        <w:rPr>
          <w:rFonts w:ascii="宋体" w:hAnsi="宋体"/>
          <w:szCs w:val="21"/>
        </w:rPr>
      </w:pPr>
    </w:p>
    <w:p w14:paraId="754D3C5E">
      <w:pPr>
        <w:rPr>
          <w:rFonts w:ascii="宋体" w:hAnsi="宋体"/>
          <w:szCs w:val="21"/>
        </w:rPr>
      </w:pPr>
    </w:p>
    <w:p w14:paraId="2F11CCD9">
      <w:pPr>
        <w:spacing w:line="360" w:lineRule="auto"/>
        <w:rPr>
          <w:rFonts w:ascii="宋体" w:hAnsi="宋体"/>
          <w:szCs w:val="21"/>
        </w:rPr>
      </w:pPr>
    </w:p>
    <w:p w14:paraId="77FF3FF7">
      <w:pPr>
        <w:pageBreakBefore/>
        <w:tabs>
          <w:tab w:val="center" w:pos="4567"/>
        </w:tabs>
        <w:spacing w:line="360" w:lineRule="auto"/>
        <w:jc w:val="center"/>
        <w:outlineLvl w:val="0"/>
        <w:rPr>
          <w:rFonts w:eastAsia="黑体"/>
          <w:bCs/>
          <w:sz w:val="36"/>
          <w:szCs w:val="36"/>
        </w:rPr>
      </w:pPr>
      <w:bookmarkStart w:id="115" w:name="_Toc155798106"/>
      <w:r>
        <w:rPr>
          <w:rFonts w:hint="eastAsia" w:eastAsia="黑体"/>
          <w:bCs/>
          <w:sz w:val="36"/>
          <w:szCs w:val="36"/>
        </w:rPr>
        <w:t>第六章</w:t>
      </w:r>
      <w:r>
        <w:rPr>
          <w:rFonts w:eastAsia="黑体"/>
          <w:bCs/>
          <w:sz w:val="36"/>
          <w:szCs w:val="36"/>
        </w:rPr>
        <w:t xml:space="preserve"> </w:t>
      </w:r>
      <w:r>
        <w:rPr>
          <w:rFonts w:hint="eastAsia" w:eastAsia="黑体"/>
          <w:bCs/>
          <w:sz w:val="36"/>
          <w:szCs w:val="36"/>
        </w:rPr>
        <w:t>响应文件格式</w:t>
      </w:r>
      <w:bookmarkEnd w:id="92"/>
      <w:bookmarkEnd w:id="115"/>
      <w:bookmarkStart w:id="116" w:name="_Toc15509"/>
      <w:bookmarkStart w:id="117" w:name="_Toc15142"/>
    </w:p>
    <w:p w14:paraId="1645EEF4">
      <w:pPr>
        <w:spacing w:before="61" w:after="3" w:line="360" w:lineRule="auto"/>
        <w:ind w:left="23"/>
        <w:jc w:val="center"/>
        <w:outlineLvl w:val="1"/>
        <w:rPr>
          <w:rFonts w:ascii="宋体" w:cs="宋体"/>
          <w:b/>
          <w:sz w:val="29"/>
        </w:rPr>
      </w:pPr>
      <w:bookmarkStart w:id="118" w:name="_Toc122415899"/>
      <w:bookmarkStart w:id="119" w:name="_Toc117063840"/>
      <w:r>
        <w:rPr>
          <w:rFonts w:hint="eastAsia" w:ascii="宋体" w:hAnsi="宋体" w:cs="宋体"/>
          <w:b/>
          <w:sz w:val="29"/>
        </w:rPr>
        <w:t>资格索引表</w:t>
      </w:r>
      <w:bookmarkEnd w:id="116"/>
      <w:bookmarkEnd w:id="117"/>
      <w:bookmarkEnd w:id="118"/>
      <w:bookmarkEnd w:id="119"/>
    </w:p>
    <w:tbl>
      <w:tblPr>
        <w:tblStyle w:val="64"/>
        <w:tblW w:w="9720" w:type="dxa"/>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3"/>
        <w:gridCol w:w="3937"/>
      </w:tblGrid>
      <w:tr w14:paraId="2A64C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trPr>
        <w:tc>
          <w:tcPr>
            <w:tcW w:w="5783" w:type="dxa"/>
          </w:tcPr>
          <w:p w14:paraId="13ECC2D0">
            <w:pPr>
              <w:pStyle w:val="424"/>
              <w:spacing w:before="122" w:line="360" w:lineRule="auto"/>
              <w:ind w:left="420"/>
              <w:rPr>
                <w:b/>
                <w:color w:val="auto"/>
                <w:sz w:val="20"/>
              </w:rPr>
            </w:pPr>
            <w:r>
              <w:rPr>
                <w:rFonts w:hint="eastAsia"/>
                <w:b/>
                <w:color w:val="auto"/>
                <w:sz w:val="20"/>
              </w:rPr>
              <w:t>资格项</w:t>
            </w:r>
          </w:p>
        </w:tc>
        <w:tc>
          <w:tcPr>
            <w:tcW w:w="3937" w:type="dxa"/>
          </w:tcPr>
          <w:p w14:paraId="7CFA5391">
            <w:pPr>
              <w:pStyle w:val="424"/>
              <w:spacing w:before="4" w:line="360" w:lineRule="auto"/>
              <w:rPr>
                <w:b/>
                <w:color w:val="auto"/>
                <w:sz w:val="20"/>
                <w:lang w:eastAsia="zh-CN"/>
              </w:rPr>
            </w:pPr>
            <w:r>
              <w:rPr>
                <w:rFonts w:hint="eastAsia"/>
                <w:b/>
                <w:color w:val="auto"/>
                <w:sz w:val="20"/>
                <w:lang w:eastAsia="zh-CN"/>
              </w:rPr>
              <w:t>在响应文件中的页码位置</w:t>
            </w:r>
          </w:p>
        </w:tc>
      </w:tr>
      <w:tr w14:paraId="03330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783" w:type="dxa"/>
          </w:tcPr>
          <w:p w14:paraId="7882A5C7">
            <w:pPr>
              <w:pStyle w:val="424"/>
              <w:spacing w:line="360" w:lineRule="auto"/>
              <w:rPr>
                <w:color w:val="auto"/>
                <w:sz w:val="20"/>
                <w:lang w:eastAsia="zh-CN"/>
              </w:rPr>
            </w:pPr>
          </w:p>
        </w:tc>
        <w:tc>
          <w:tcPr>
            <w:tcW w:w="3937" w:type="dxa"/>
          </w:tcPr>
          <w:p w14:paraId="471EC9DD">
            <w:pPr>
              <w:pStyle w:val="424"/>
              <w:spacing w:line="360" w:lineRule="auto"/>
              <w:rPr>
                <w:color w:val="auto"/>
                <w:sz w:val="20"/>
                <w:lang w:eastAsia="zh-CN"/>
              </w:rPr>
            </w:pPr>
          </w:p>
        </w:tc>
      </w:tr>
      <w:tr w14:paraId="5BE19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783" w:type="dxa"/>
          </w:tcPr>
          <w:p w14:paraId="5772F74B">
            <w:pPr>
              <w:pStyle w:val="424"/>
              <w:spacing w:line="360" w:lineRule="auto"/>
              <w:rPr>
                <w:color w:val="auto"/>
                <w:sz w:val="20"/>
                <w:lang w:eastAsia="zh-CN"/>
              </w:rPr>
            </w:pPr>
          </w:p>
        </w:tc>
        <w:tc>
          <w:tcPr>
            <w:tcW w:w="3937" w:type="dxa"/>
          </w:tcPr>
          <w:p w14:paraId="7085E651">
            <w:pPr>
              <w:pStyle w:val="424"/>
              <w:spacing w:line="360" w:lineRule="auto"/>
              <w:rPr>
                <w:color w:val="auto"/>
                <w:sz w:val="20"/>
                <w:lang w:eastAsia="zh-CN"/>
              </w:rPr>
            </w:pPr>
          </w:p>
        </w:tc>
      </w:tr>
      <w:tr w14:paraId="13496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783" w:type="dxa"/>
          </w:tcPr>
          <w:p w14:paraId="7920E4FF">
            <w:pPr>
              <w:pStyle w:val="424"/>
              <w:spacing w:line="360" w:lineRule="auto"/>
              <w:rPr>
                <w:color w:val="auto"/>
                <w:sz w:val="20"/>
                <w:lang w:eastAsia="zh-CN"/>
              </w:rPr>
            </w:pPr>
          </w:p>
        </w:tc>
        <w:tc>
          <w:tcPr>
            <w:tcW w:w="3937" w:type="dxa"/>
          </w:tcPr>
          <w:p w14:paraId="7DFDF914">
            <w:pPr>
              <w:pStyle w:val="424"/>
              <w:spacing w:line="360" w:lineRule="auto"/>
              <w:rPr>
                <w:color w:val="auto"/>
                <w:sz w:val="20"/>
                <w:lang w:eastAsia="zh-CN"/>
              </w:rPr>
            </w:pPr>
          </w:p>
        </w:tc>
      </w:tr>
      <w:tr w14:paraId="736F5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783" w:type="dxa"/>
          </w:tcPr>
          <w:p w14:paraId="028A826A">
            <w:pPr>
              <w:pStyle w:val="424"/>
              <w:spacing w:line="360" w:lineRule="auto"/>
              <w:rPr>
                <w:color w:val="auto"/>
                <w:sz w:val="20"/>
                <w:lang w:eastAsia="zh-CN"/>
              </w:rPr>
            </w:pPr>
          </w:p>
        </w:tc>
        <w:tc>
          <w:tcPr>
            <w:tcW w:w="3937" w:type="dxa"/>
          </w:tcPr>
          <w:p w14:paraId="16B9DD66">
            <w:pPr>
              <w:pStyle w:val="424"/>
              <w:spacing w:line="360" w:lineRule="auto"/>
              <w:rPr>
                <w:color w:val="auto"/>
                <w:sz w:val="20"/>
                <w:lang w:eastAsia="zh-CN"/>
              </w:rPr>
            </w:pPr>
          </w:p>
        </w:tc>
      </w:tr>
      <w:tr w14:paraId="6F1FF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783" w:type="dxa"/>
          </w:tcPr>
          <w:p w14:paraId="1086072B">
            <w:pPr>
              <w:pStyle w:val="424"/>
              <w:spacing w:line="360" w:lineRule="auto"/>
              <w:rPr>
                <w:color w:val="auto"/>
                <w:sz w:val="20"/>
                <w:lang w:eastAsia="zh-CN"/>
              </w:rPr>
            </w:pPr>
          </w:p>
        </w:tc>
        <w:tc>
          <w:tcPr>
            <w:tcW w:w="3937" w:type="dxa"/>
          </w:tcPr>
          <w:p w14:paraId="00CDB831">
            <w:pPr>
              <w:pStyle w:val="424"/>
              <w:spacing w:line="360" w:lineRule="auto"/>
              <w:rPr>
                <w:color w:val="auto"/>
                <w:sz w:val="20"/>
                <w:lang w:eastAsia="zh-CN"/>
              </w:rPr>
            </w:pPr>
          </w:p>
        </w:tc>
      </w:tr>
      <w:tr w14:paraId="3F538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783" w:type="dxa"/>
          </w:tcPr>
          <w:p w14:paraId="37B1F1B2">
            <w:pPr>
              <w:pStyle w:val="424"/>
              <w:spacing w:line="360" w:lineRule="auto"/>
              <w:rPr>
                <w:color w:val="auto"/>
                <w:sz w:val="20"/>
                <w:lang w:eastAsia="zh-CN"/>
              </w:rPr>
            </w:pPr>
          </w:p>
        </w:tc>
        <w:tc>
          <w:tcPr>
            <w:tcW w:w="3937" w:type="dxa"/>
          </w:tcPr>
          <w:p w14:paraId="4092159A">
            <w:pPr>
              <w:pStyle w:val="424"/>
              <w:spacing w:line="360" w:lineRule="auto"/>
              <w:rPr>
                <w:color w:val="auto"/>
                <w:sz w:val="20"/>
                <w:lang w:eastAsia="zh-CN"/>
              </w:rPr>
            </w:pPr>
          </w:p>
        </w:tc>
      </w:tr>
      <w:tr w14:paraId="1FA6B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5783" w:type="dxa"/>
          </w:tcPr>
          <w:p w14:paraId="02DEAF1A">
            <w:pPr>
              <w:pStyle w:val="424"/>
              <w:spacing w:line="360" w:lineRule="auto"/>
              <w:rPr>
                <w:color w:val="auto"/>
                <w:sz w:val="20"/>
                <w:lang w:eastAsia="zh-CN"/>
              </w:rPr>
            </w:pPr>
          </w:p>
        </w:tc>
        <w:tc>
          <w:tcPr>
            <w:tcW w:w="3937" w:type="dxa"/>
          </w:tcPr>
          <w:p w14:paraId="33F02ACC">
            <w:pPr>
              <w:pStyle w:val="424"/>
              <w:spacing w:line="360" w:lineRule="auto"/>
              <w:rPr>
                <w:color w:val="auto"/>
                <w:sz w:val="20"/>
                <w:lang w:eastAsia="zh-CN"/>
              </w:rPr>
            </w:pPr>
          </w:p>
        </w:tc>
      </w:tr>
      <w:tr w14:paraId="17987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783" w:type="dxa"/>
          </w:tcPr>
          <w:p w14:paraId="58C827D0">
            <w:pPr>
              <w:pStyle w:val="424"/>
              <w:spacing w:line="360" w:lineRule="auto"/>
              <w:rPr>
                <w:color w:val="auto"/>
                <w:sz w:val="20"/>
                <w:lang w:eastAsia="zh-CN"/>
              </w:rPr>
            </w:pPr>
          </w:p>
        </w:tc>
        <w:tc>
          <w:tcPr>
            <w:tcW w:w="3937" w:type="dxa"/>
          </w:tcPr>
          <w:p w14:paraId="11AC3C78">
            <w:pPr>
              <w:pStyle w:val="424"/>
              <w:spacing w:line="360" w:lineRule="auto"/>
              <w:rPr>
                <w:color w:val="auto"/>
                <w:sz w:val="20"/>
                <w:lang w:eastAsia="zh-CN"/>
              </w:rPr>
            </w:pPr>
          </w:p>
        </w:tc>
      </w:tr>
      <w:tr w14:paraId="68E8B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783" w:type="dxa"/>
          </w:tcPr>
          <w:p w14:paraId="4FE43124">
            <w:pPr>
              <w:pStyle w:val="424"/>
              <w:spacing w:line="360" w:lineRule="auto"/>
              <w:rPr>
                <w:color w:val="auto"/>
                <w:sz w:val="20"/>
                <w:lang w:eastAsia="zh-CN"/>
              </w:rPr>
            </w:pPr>
          </w:p>
        </w:tc>
        <w:tc>
          <w:tcPr>
            <w:tcW w:w="3937" w:type="dxa"/>
          </w:tcPr>
          <w:p w14:paraId="003E1643">
            <w:pPr>
              <w:pStyle w:val="424"/>
              <w:spacing w:line="360" w:lineRule="auto"/>
              <w:rPr>
                <w:color w:val="auto"/>
                <w:sz w:val="20"/>
                <w:lang w:eastAsia="zh-CN"/>
              </w:rPr>
            </w:pPr>
          </w:p>
        </w:tc>
      </w:tr>
      <w:tr w14:paraId="59839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783" w:type="dxa"/>
          </w:tcPr>
          <w:p w14:paraId="42A27C4C">
            <w:pPr>
              <w:pStyle w:val="424"/>
              <w:spacing w:line="360" w:lineRule="auto"/>
              <w:rPr>
                <w:color w:val="auto"/>
                <w:sz w:val="20"/>
                <w:lang w:eastAsia="zh-CN"/>
              </w:rPr>
            </w:pPr>
          </w:p>
        </w:tc>
        <w:tc>
          <w:tcPr>
            <w:tcW w:w="3937" w:type="dxa"/>
          </w:tcPr>
          <w:p w14:paraId="6E87598E">
            <w:pPr>
              <w:pStyle w:val="424"/>
              <w:spacing w:line="360" w:lineRule="auto"/>
              <w:rPr>
                <w:color w:val="auto"/>
                <w:sz w:val="20"/>
                <w:lang w:eastAsia="zh-CN"/>
              </w:rPr>
            </w:pPr>
          </w:p>
        </w:tc>
      </w:tr>
      <w:tr w14:paraId="7A8FD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5783" w:type="dxa"/>
          </w:tcPr>
          <w:p w14:paraId="28370DBC">
            <w:pPr>
              <w:pStyle w:val="424"/>
              <w:spacing w:line="360" w:lineRule="auto"/>
              <w:rPr>
                <w:color w:val="auto"/>
                <w:sz w:val="20"/>
                <w:lang w:eastAsia="zh-CN"/>
              </w:rPr>
            </w:pPr>
          </w:p>
        </w:tc>
        <w:tc>
          <w:tcPr>
            <w:tcW w:w="3937" w:type="dxa"/>
          </w:tcPr>
          <w:p w14:paraId="6316BE4F">
            <w:pPr>
              <w:pStyle w:val="424"/>
              <w:spacing w:line="360" w:lineRule="auto"/>
              <w:rPr>
                <w:color w:val="auto"/>
                <w:sz w:val="20"/>
                <w:lang w:eastAsia="zh-CN"/>
              </w:rPr>
            </w:pPr>
          </w:p>
        </w:tc>
      </w:tr>
      <w:tr w14:paraId="21C9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783" w:type="dxa"/>
          </w:tcPr>
          <w:p w14:paraId="7AE3E98E">
            <w:pPr>
              <w:pStyle w:val="424"/>
              <w:spacing w:line="360" w:lineRule="auto"/>
              <w:rPr>
                <w:color w:val="auto"/>
                <w:sz w:val="20"/>
                <w:lang w:eastAsia="zh-CN"/>
              </w:rPr>
            </w:pPr>
          </w:p>
        </w:tc>
        <w:tc>
          <w:tcPr>
            <w:tcW w:w="3937" w:type="dxa"/>
          </w:tcPr>
          <w:p w14:paraId="1483DD35">
            <w:pPr>
              <w:pStyle w:val="424"/>
              <w:spacing w:line="360" w:lineRule="auto"/>
              <w:rPr>
                <w:color w:val="auto"/>
                <w:sz w:val="20"/>
                <w:lang w:eastAsia="zh-CN"/>
              </w:rPr>
            </w:pPr>
          </w:p>
        </w:tc>
      </w:tr>
      <w:tr w14:paraId="032B3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783" w:type="dxa"/>
          </w:tcPr>
          <w:p w14:paraId="5ABD7016">
            <w:pPr>
              <w:pStyle w:val="424"/>
              <w:spacing w:line="360" w:lineRule="auto"/>
              <w:rPr>
                <w:color w:val="auto"/>
                <w:sz w:val="20"/>
                <w:lang w:eastAsia="zh-CN"/>
              </w:rPr>
            </w:pPr>
          </w:p>
        </w:tc>
        <w:tc>
          <w:tcPr>
            <w:tcW w:w="3937" w:type="dxa"/>
          </w:tcPr>
          <w:p w14:paraId="3081EB43">
            <w:pPr>
              <w:pStyle w:val="424"/>
              <w:spacing w:line="360" w:lineRule="auto"/>
              <w:rPr>
                <w:color w:val="auto"/>
                <w:sz w:val="20"/>
                <w:lang w:eastAsia="zh-CN"/>
              </w:rPr>
            </w:pPr>
          </w:p>
        </w:tc>
      </w:tr>
      <w:tr w14:paraId="7C2D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783" w:type="dxa"/>
          </w:tcPr>
          <w:p w14:paraId="2C38FED8">
            <w:pPr>
              <w:pStyle w:val="424"/>
              <w:spacing w:line="360" w:lineRule="auto"/>
              <w:rPr>
                <w:color w:val="auto"/>
                <w:sz w:val="20"/>
                <w:lang w:eastAsia="zh-CN"/>
              </w:rPr>
            </w:pPr>
          </w:p>
        </w:tc>
        <w:tc>
          <w:tcPr>
            <w:tcW w:w="3937" w:type="dxa"/>
          </w:tcPr>
          <w:p w14:paraId="21956AC2">
            <w:pPr>
              <w:pStyle w:val="424"/>
              <w:spacing w:line="360" w:lineRule="auto"/>
              <w:rPr>
                <w:color w:val="auto"/>
                <w:sz w:val="20"/>
                <w:lang w:eastAsia="zh-CN"/>
              </w:rPr>
            </w:pPr>
          </w:p>
        </w:tc>
      </w:tr>
      <w:tr w14:paraId="3D1DB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783" w:type="dxa"/>
          </w:tcPr>
          <w:p w14:paraId="700E8EBC">
            <w:pPr>
              <w:pStyle w:val="424"/>
              <w:spacing w:line="360" w:lineRule="auto"/>
              <w:rPr>
                <w:color w:val="auto"/>
                <w:sz w:val="20"/>
                <w:lang w:eastAsia="zh-CN"/>
              </w:rPr>
            </w:pPr>
          </w:p>
        </w:tc>
        <w:tc>
          <w:tcPr>
            <w:tcW w:w="3937" w:type="dxa"/>
          </w:tcPr>
          <w:p w14:paraId="7986A2BA">
            <w:pPr>
              <w:pStyle w:val="424"/>
              <w:spacing w:line="360" w:lineRule="auto"/>
              <w:rPr>
                <w:color w:val="auto"/>
                <w:sz w:val="20"/>
                <w:lang w:eastAsia="zh-CN"/>
              </w:rPr>
            </w:pPr>
          </w:p>
        </w:tc>
      </w:tr>
      <w:tr w14:paraId="16C89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trPr>
        <w:tc>
          <w:tcPr>
            <w:tcW w:w="5783" w:type="dxa"/>
          </w:tcPr>
          <w:p w14:paraId="371F41AE">
            <w:pPr>
              <w:pStyle w:val="424"/>
              <w:spacing w:line="360" w:lineRule="auto"/>
              <w:rPr>
                <w:color w:val="auto"/>
                <w:sz w:val="20"/>
                <w:lang w:eastAsia="zh-CN"/>
              </w:rPr>
            </w:pPr>
          </w:p>
        </w:tc>
        <w:tc>
          <w:tcPr>
            <w:tcW w:w="3937" w:type="dxa"/>
          </w:tcPr>
          <w:p w14:paraId="45277BE3">
            <w:pPr>
              <w:pStyle w:val="424"/>
              <w:spacing w:line="360" w:lineRule="auto"/>
              <w:rPr>
                <w:color w:val="auto"/>
                <w:sz w:val="20"/>
                <w:lang w:eastAsia="zh-CN"/>
              </w:rPr>
            </w:pPr>
          </w:p>
        </w:tc>
      </w:tr>
    </w:tbl>
    <w:p w14:paraId="29825CBF"/>
    <w:p w14:paraId="092CDF89">
      <w:pPr>
        <w:pageBreakBefore/>
        <w:spacing w:before="61" w:after="3" w:line="360" w:lineRule="auto"/>
        <w:ind w:left="23"/>
        <w:jc w:val="center"/>
        <w:outlineLvl w:val="1"/>
        <w:rPr>
          <w:rFonts w:ascii="宋体" w:cs="宋体"/>
          <w:b/>
          <w:sz w:val="29"/>
        </w:rPr>
      </w:pPr>
      <w:bookmarkStart w:id="120" w:name="_Toc122415900"/>
      <w:bookmarkStart w:id="121" w:name="_Toc2756"/>
      <w:bookmarkStart w:id="122" w:name="_Toc12768"/>
      <w:bookmarkStart w:id="123" w:name="_Toc117063841"/>
      <w:r>
        <w:rPr>
          <w:rFonts w:hint="eastAsia" w:ascii="宋体" w:hAnsi="宋体" w:cs="宋体"/>
          <w:b/>
          <w:sz w:val="29"/>
        </w:rPr>
        <w:t>评分索引表</w:t>
      </w:r>
      <w:bookmarkEnd w:id="120"/>
      <w:bookmarkEnd w:id="121"/>
      <w:bookmarkEnd w:id="122"/>
      <w:bookmarkEnd w:id="123"/>
    </w:p>
    <w:tbl>
      <w:tblPr>
        <w:tblStyle w:val="64"/>
        <w:tblW w:w="9750"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3"/>
        <w:gridCol w:w="3937"/>
      </w:tblGrid>
      <w:tr w14:paraId="43493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813" w:type="dxa"/>
          </w:tcPr>
          <w:p w14:paraId="19883D93">
            <w:pPr>
              <w:pStyle w:val="424"/>
              <w:spacing w:before="122" w:line="360" w:lineRule="auto"/>
              <w:ind w:left="420"/>
              <w:rPr>
                <w:b/>
                <w:color w:val="auto"/>
                <w:sz w:val="20"/>
              </w:rPr>
            </w:pPr>
            <w:r>
              <w:rPr>
                <w:rFonts w:hint="eastAsia"/>
                <w:b/>
                <w:color w:val="auto"/>
                <w:sz w:val="20"/>
              </w:rPr>
              <w:t>评分项目</w:t>
            </w:r>
          </w:p>
        </w:tc>
        <w:tc>
          <w:tcPr>
            <w:tcW w:w="3937" w:type="dxa"/>
          </w:tcPr>
          <w:p w14:paraId="1AAEE9BA">
            <w:pPr>
              <w:pStyle w:val="424"/>
              <w:spacing w:before="4" w:line="360" w:lineRule="auto"/>
              <w:rPr>
                <w:b/>
                <w:color w:val="auto"/>
                <w:sz w:val="20"/>
                <w:lang w:eastAsia="zh-CN"/>
              </w:rPr>
            </w:pPr>
            <w:r>
              <w:rPr>
                <w:rFonts w:hint="eastAsia"/>
                <w:b/>
                <w:color w:val="auto"/>
                <w:sz w:val="20"/>
                <w:lang w:eastAsia="zh-CN"/>
              </w:rPr>
              <w:t>在响应文件中的页码位置</w:t>
            </w:r>
          </w:p>
        </w:tc>
      </w:tr>
      <w:tr w14:paraId="506D7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813" w:type="dxa"/>
          </w:tcPr>
          <w:p w14:paraId="6AB5D901">
            <w:pPr>
              <w:pStyle w:val="424"/>
              <w:spacing w:line="360" w:lineRule="auto"/>
              <w:rPr>
                <w:color w:val="auto"/>
                <w:sz w:val="20"/>
                <w:lang w:eastAsia="zh-CN"/>
              </w:rPr>
            </w:pPr>
          </w:p>
        </w:tc>
        <w:tc>
          <w:tcPr>
            <w:tcW w:w="3937" w:type="dxa"/>
          </w:tcPr>
          <w:p w14:paraId="5D52E6CF">
            <w:pPr>
              <w:pStyle w:val="424"/>
              <w:spacing w:line="360" w:lineRule="auto"/>
              <w:rPr>
                <w:color w:val="auto"/>
                <w:sz w:val="20"/>
                <w:lang w:eastAsia="zh-CN"/>
              </w:rPr>
            </w:pPr>
          </w:p>
        </w:tc>
      </w:tr>
      <w:tr w14:paraId="5AE1F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813" w:type="dxa"/>
          </w:tcPr>
          <w:p w14:paraId="13B48B03">
            <w:pPr>
              <w:pStyle w:val="424"/>
              <w:spacing w:line="360" w:lineRule="auto"/>
              <w:rPr>
                <w:color w:val="auto"/>
                <w:sz w:val="20"/>
                <w:lang w:eastAsia="zh-CN"/>
              </w:rPr>
            </w:pPr>
          </w:p>
        </w:tc>
        <w:tc>
          <w:tcPr>
            <w:tcW w:w="3937" w:type="dxa"/>
          </w:tcPr>
          <w:p w14:paraId="1045A545">
            <w:pPr>
              <w:pStyle w:val="424"/>
              <w:spacing w:line="360" w:lineRule="auto"/>
              <w:rPr>
                <w:color w:val="auto"/>
                <w:sz w:val="20"/>
                <w:lang w:eastAsia="zh-CN"/>
              </w:rPr>
            </w:pPr>
          </w:p>
        </w:tc>
      </w:tr>
      <w:tr w14:paraId="66EA7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813" w:type="dxa"/>
          </w:tcPr>
          <w:p w14:paraId="2AD4F129">
            <w:pPr>
              <w:pStyle w:val="424"/>
              <w:spacing w:line="360" w:lineRule="auto"/>
              <w:rPr>
                <w:color w:val="auto"/>
                <w:sz w:val="20"/>
                <w:lang w:eastAsia="zh-CN"/>
              </w:rPr>
            </w:pPr>
          </w:p>
        </w:tc>
        <w:tc>
          <w:tcPr>
            <w:tcW w:w="3937" w:type="dxa"/>
          </w:tcPr>
          <w:p w14:paraId="46347E9F">
            <w:pPr>
              <w:pStyle w:val="424"/>
              <w:spacing w:line="360" w:lineRule="auto"/>
              <w:rPr>
                <w:color w:val="auto"/>
                <w:sz w:val="20"/>
                <w:lang w:eastAsia="zh-CN"/>
              </w:rPr>
            </w:pPr>
          </w:p>
        </w:tc>
      </w:tr>
      <w:tr w14:paraId="02FFC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813" w:type="dxa"/>
          </w:tcPr>
          <w:p w14:paraId="4B61AC9E">
            <w:pPr>
              <w:pStyle w:val="424"/>
              <w:spacing w:line="360" w:lineRule="auto"/>
              <w:rPr>
                <w:color w:val="auto"/>
                <w:sz w:val="20"/>
                <w:lang w:eastAsia="zh-CN"/>
              </w:rPr>
            </w:pPr>
          </w:p>
        </w:tc>
        <w:tc>
          <w:tcPr>
            <w:tcW w:w="3937" w:type="dxa"/>
          </w:tcPr>
          <w:p w14:paraId="7D2802C9">
            <w:pPr>
              <w:pStyle w:val="424"/>
              <w:spacing w:line="360" w:lineRule="auto"/>
              <w:rPr>
                <w:color w:val="auto"/>
                <w:sz w:val="20"/>
                <w:lang w:eastAsia="zh-CN"/>
              </w:rPr>
            </w:pPr>
          </w:p>
        </w:tc>
      </w:tr>
      <w:tr w14:paraId="7DA78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813" w:type="dxa"/>
          </w:tcPr>
          <w:p w14:paraId="2A7FA56D">
            <w:pPr>
              <w:pStyle w:val="424"/>
              <w:spacing w:line="360" w:lineRule="auto"/>
              <w:rPr>
                <w:color w:val="auto"/>
                <w:sz w:val="20"/>
                <w:lang w:eastAsia="zh-CN"/>
              </w:rPr>
            </w:pPr>
          </w:p>
        </w:tc>
        <w:tc>
          <w:tcPr>
            <w:tcW w:w="3937" w:type="dxa"/>
          </w:tcPr>
          <w:p w14:paraId="7DFA1293">
            <w:pPr>
              <w:pStyle w:val="424"/>
              <w:spacing w:line="360" w:lineRule="auto"/>
              <w:rPr>
                <w:color w:val="auto"/>
                <w:sz w:val="20"/>
                <w:lang w:eastAsia="zh-CN"/>
              </w:rPr>
            </w:pPr>
          </w:p>
        </w:tc>
      </w:tr>
      <w:tr w14:paraId="0CE14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813" w:type="dxa"/>
          </w:tcPr>
          <w:p w14:paraId="1F4AA757">
            <w:pPr>
              <w:pStyle w:val="424"/>
              <w:spacing w:line="360" w:lineRule="auto"/>
              <w:rPr>
                <w:color w:val="auto"/>
                <w:sz w:val="20"/>
                <w:lang w:eastAsia="zh-CN"/>
              </w:rPr>
            </w:pPr>
          </w:p>
        </w:tc>
        <w:tc>
          <w:tcPr>
            <w:tcW w:w="3937" w:type="dxa"/>
          </w:tcPr>
          <w:p w14:paraId="0E0264CA">
            <w:pPr>
              <w:pStyle w:val="424"/>
              <w:spacing w:line="360" w:lineRule="auto"/>
              <w:rPr>
                <w:color w:val="auto"/>
                <w:sz w:val="20"/>
                <w:lang w:eastAsia="zh-CN"/>
              </w:rPr>
            </w:pPr>
          </w:p>
        </w:tc>
      </w:tr>
      <w:tr w14:paraId="69A6B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5813" w:type="dxa"/>
          </w:tcPr>
          <w:p w14:paraId="3920932C">
            <w:pPr>
              <w:pStyle w:val="424"/>
              <w:spacing w:line="360" w:lineRule="auto"/>
              <w:rPr>
                <w:color w:val="auto"/>
                <w:sz w:val="20"/>
                <w:lang w:eastAsia="zh-CN"/>
              </w:rPr>
            </w:pPr>
          </w:p>
        </w:tc>
        <w:tc>
          <w:tcPr>
            <w:tcW w:w="3937" w:type="dxa"/>
          </w:tcPr>
          <w:p w14:paraId="31BAE317">
            <w:pPr>
              <w:pStyle w:val="424"/>
              <w:spacing w:line="360" w:lineRule="auto"/>
              <w:rPr>
                <w:color w:val="auto"/>
                <w:sz w:val="20"/>
                <w:lang w:eastAsia="zh-CN"/>
              </w:rPr>
            </w:pPr>
          </w:p>
        </w:tc>
      </w:tr>
      <w:tr w14:paraId="3F0F7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813" w:type="dxa"/>
          </w:tcPr>
          <w:p w14:paraId="3BB83C90">
            <w:pPr>
              <w:pStyle w:val="424"/>
              <w:spacing w:line="360" w:lineRule="auto"/>
              <w:rPr>
                <w:color w:val="auto"/>
                <w:sz w:val="20"/>
                <w:lang w:eastAsia="zh-CN"/>
              </w:rPr>
            </w:pPr>
          </w:p>
        </w:tc>
        <w:tc>
          <w:tcPr>
            <w:tcW w:w="3937" w:type="dxa"/>
          </w:tcPr>
          <w:p w14:paraId="25F83B81">
            <w:pPr>
              <w:pStyle w:val="424"/>
              <w:spacing w:line="360" w:lineRule="auto"/>
              <w:rPr>
                <w:color w:val="auto"/>
                <w:sz w:val="20"/>
                <w:lang w:eastAsia="zh-CN"/>
              </w:rPr>
            </w:pPr>
          </w:p>
        </w:tc>
      </w:tr>
      <w:tr w14:paraId="77109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813" w:type="dxa"/>
          </w:tcPr>
          <w:p w14:paraId="4FB57287">
            <w:pPr>
              <w:pStyle w:val="424"/>
              <w:spacing w:line="360" w:lineRule="auto"/>
              <w:rPr>
                <w:color w:val="auto"/>
                <w:sz w:val="20"/>
                <w:lang w:eastAsia="zh-CN"/>
              </w:rPr>
            </w:pPr>
          </w:p>
        </w:tc>
        <w:tc>
          <w:tcPr>
            <w:tcW w:w="3937" w:type="dxa"/>
          </w:tcPr>
          <w:p w14:paraId="7EF77A02">
            <w:pPr>
              <w:pStyle w:val="424"/>
              <w:spacing w:line="360" w:lineRule="auto"/>
              <w:rPr>
                <w:color w:val="auto"/>
                <w:sz w:val="20"/>
                <w:lang w:eastAsia="zh-CN"/>
              </w:rPr>
            </w:pPr>
          </w:p>
        </w:tc>
      </w:tr>
      <w:tr w14:paraId="19226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813" w:type="dxa"/>
          </w:tcPr>
          <w:p w14:paraId="53912380">
            <w:pPr>
              <w:pStyle w:val="424"/>
              <w:spacing w:line="360" w:lineRule="auto"/>
              <w:rPr>
                <w:color w:val="auto"/>
                <w:sz w:val="20"/>
                <w:lang w:eastAsia="zh-CN"/>
              </w:rPr>
            </w:pPr>
          </w:p>
        </w:tc>
        <w:tc>
          <w:tcPr>
            <w:tcW w:w="3937" w:type="dxa"/>
          </w:tcPr>
          <w:p w14:paraId="020BC8C9">
            <w:pPr>
              <w:pStyle w:val="424"/>
              <w:spacing w:line="360" w:lineRule="auto"/>
              <w:rPr>
                <w:color w:val="auto"/>
                <w:sz w:val="20"/>
                <w:lang w:eastAsia="zh-CN"/>
              </w:rPr>
            </w:pPr>
          </w:p>
        </w:tc>
      </w:tr>
      <w:tr w14:paraId="0AE3F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5813" w:type="dxa"/>
          </w:tcPr>
          <w:p w14:paraId="58E22168">
            <w:pPr>
              <w:pStyle w:val="424"/>
              <w:spacing w:line="360" w:lineRule="auto"/>
              <w:rPr>
                <w:color w:val="auto"/>
                <w:sz w:val="20"/>
                <w:lang w:eastAsia="zh-CN"/>
              </w:rPr>
            </w:pPr>
          </w:p>
        </w:tc>
        <w:tc>
          <w:tcPr>
            <w:tcW w:w="3937" w:type="dxa"/>
          </w:tcPr>
          <w:p w14:paraId="762880D9">
            <w:pPr>
              <w:pStyle w:val="424"/>
              <w:spacing w:line="360" w:lineRule="auto"/>
              <w:rPr>
                <w:color w:val="auto"/>
                <w:sz w:val="20"/>
                <w:lang w:eastAsia="zh-CN"/>
              </w:rPr>
            </w:pPr>
          </w:p>
        </w:tc>
      </w:tr>
      <w:tr w14:paraId="240C1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813" w:type="dxa"/>
          </w:tcPr>
          <w:p w14:paraId="67A7E731">
            <w:pPr>
              <w:pStyle w:val="424"/>
              <w:spacing w:line="360" w:lineRule="auto"/>
              <w:rPr>
                <w:color w:val="auto"/>
                <w:sz w:val="20"/>
                <w:lang w:eastAsia="zh-CN"/>
              </w:rPr>
            </w:pPr>
          </w:p>
        </w:tc>
        <w:tc>
          <w:tcPr>
            <w:tcW w:w="3937" w:type="dxa"/>
          </w:tcPr>
          <w:p w14:paraId="2F5D2974">
            <w:pPr>
              <w:pStyle w:val="424"/>
              <w:spacing w:line="360" w:lineRule="auto"/>
              <w:rPr>
                <w:color w:val="auto"/>
                <w:sz w:val="20"/>
                <w:lang w:eastAsia="zh-CN"/>
              </w:rPr>
            </w:pPr>
          </w:p>
        </w:tc>
      </w:tr>
      <w:tr w14:paraId="75CE8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813" w:type="dxa"/>
          </w:tcPr>
          <w:p w14:paraId="7F79D8F0">
            <w:pPr>
              <w:pStyle w:val="424"/>
              <w:spacing w:line="360" w:lineRule="auto"/>
              <w:rPr>
                <w:color w:val="auto"/>
                <w:sz w:val="20"/>
                <w:lang w:eastAsia="zh-CN"/>
              </w:rPr>
            </w:pPr>
          </w:p>
        </w:tc>
        <w:tc>
          <w:tcPr>
            <w:tcW w:w="3937" w:type="dxa"/>
          </w:tcPr>
          <w:p w14:paraId="00847D7B">
            <w:pPr>
              <w:pStyle w:val="424"/>
              <w:spacing w:line="360" w:lineRule="auto"/>
              <w:rPr>
                <w:color w:val="auto"/>
                <w:sz w:val="20"/>
                <w:lang w:eastAsia="zh-CN"/>
              </w:rPr>
            </w:pPr>
          </w:p>
        </w:tc>
      </w:tr>
      <w:tr w14:paraId="36E9A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813" w:type="dxa"/>
          </w:tcPr>
          <w:p w14:paraId="0F6179B6">
            <w:pPr>
              <w:pStyle w:val="424"/>
              <w:spacing w:line="360" w:lineRule="auto"/>
              <w:rPr>
                <w:color w:val="auto"/>
                <w:sz w:val="20"/>
                <w:lang w:eastAsia="zh-CN"/>
              </w:rPr>
            </w:pPr>
          </w:p>
        </w:tc>
        <w:tc>
          <w:tcPr>
            <w:tcW w:w="3937" w:type="dxa"/>
          </w:tcPr>
          <w:p w14:paraId="2986E41B">
            <w:pPr>
              <w:pStyle w:val="424"/>
              <w:spacing w:line="360" w:lineRule="auto"/>
              <w:rPr>
                <w:color w:val="auto"/>
                <w:sz w:val="20"/>
                <w:lang w:eastAsia="zh-CN"/>
              </w:rPr>
            </w:pPr>
          </w:p>
        </w:tc>
      </w:tr>
      <w:tr w14:paraId="10867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813" w:type="dxa"/>
          </w:tcPr>
          <w:p w14:paraId="3BD23186">
            <w:pPr>
              <w:pStyle w:val="424"/>
              <w:spacing w:line="360" w:lineRule="auto"/>
              <w:rPr>
                <w:color w:val="auto"/>
                <w:sz w:val="20"/>
                <w:lang w:eastAsia="zh-CN"/>
              </w:rPr>
            </w:pPr>
          </w:p>
        </w:tc>
        <w:tc>
          <w:tcPr>
            <w:tcW w:w="3937" w:type="dxa"/>
          </w:tcPr>
          <w:p w14:paraId="09C2C82F">
            <w:pPr>
              <w:pStyle w:val="424"/>
              <w:spacing w:line="360" w:lineRule="auto"/>
              <w:rPr>
                <w:color w:val="auto"/>
                <w:sz w:val="20"/>
                <w:lang w:eastAsia="zh-CN"/>
              </w:rPr>
            </w:pPr>
          </w:p>
        </w:tc>
      </w:tr>
      <w:tr w14:paraId="7D101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813" w:type="dxa"/>
          </w:tcPr>
          <w:p w14:paraId="11E1E0D3">
            <w:pPr>
              <w:pStyle w:val="424"/>
              <w:spacing w:line="360" w:lineRule="auto"/>
              <w:rPr>
                <w:color w:val="auto"/>
                <w:sz w:val="20"/>
                <w:lang w:eastAsia="zh-CN"/>
              </w:rPr>
            </w:pPr>
          </w:p>
        </w:tc>
        <w:tc>
          <w:tcPr>
            <w:tcW w:w="3937" w:type="dxa"/>
          </w:tcPr>
          <w:p w14:paraId="217ABF78">
            <w:pPr>
              <w:pStyle w:val="424"/>
              <w:spacing w:line="360" w:lineRule="auto"/>
              <w:rPr>
                <w:color w:val="auto"/>
                <w:sz w:val="20"/>
                <w:lang w:eastAsia="zh-CN"/>
              </w:rPr>
            </w:pPr>
          </w:p>
        </w:tc>
      </w:tr>
    </w:tbl>
    <w:p w14:paraId="6D416652">
      <w:pPr>
        <w:pageBreakBefore/>
        <w:spacing w:line="360" w:lineRule="auto"/>
        <w:ind w:right="561"/>
        <w:jc w:val="right"/>
        <w:rPr>
          <w:rFonts w:ascii="黑体" w:hAnsi="宋体" w:eastAsia="黑体" w:cs="宋体"/>
          <w:kern w:val="0"/>
          <w:sz w:val="32"/>
          <w:szCs w:val="32"/>
          <w:lang w:val="zh-CN"/>
        </w:rPr>
      </w:pPr>
      <w:r>
        <w:rPr>
          <w:rFonts w:hint="eastAsia" w:ascii="黑体" w:hAnsi="宋体" w:eastAsia="黑体" w:cs="宋体"/>
          <w:kern w:val="0"/>
          <w:sz w:val="32"/>
          <w:szCs w:val="32"/>
          <w:lang w:val="zh-CN"/>
        </w:rPr>
        <w:t>正本（副本）</w:t>
      </w:r>
    </w:p>
    <w:p w14:paraId="00FF426B">
      <w:pPr>
        <w:spacing w:line="360" w:lineRule="auto"/>
        <w:jc w:val="center"/>
        <w:rPr>
          <w:rFonts w:ascii="黑体" w:hAnsi="宋体" w:eastAsia="黑体" w:cs="宋体"/>
          <w:kern w:val="0"/>
          <w:sz w:val="32"/>
          <w:szCs w:val="32"/>
          <w:lang w:val="zh-CN"/>
        </w:rPr>
      </w:pPr>
    </w:p>
    <w:p w14:paraId="5BA3A244">
      <w:pPr>
        <w:spacing w:line="360" w:lineRule="auto"/>
        <w:jc w:val="center"/>
        <w:rPr>
          <w:rFonts w:ascii="黑体" w:hAnsi="宋体" w:eastAsia="黑体" w:cs="宋体"/>
          <w:kern w:val="0"/>
          <w:sz w:val="32"/>
          <w:szCs w:val="32"/>
          <w:lang w:val="zh-CN"/>
        </w:rPr>
      </w:pPr>
      <w:r>
        <w:rPr>
          <w:rFonts w:hint="eastAsia" w:ascii="黑体" w:hAnsi="宋体" w:eastAsia="黑体" w:cs="宋体"/>
          <w:bCs/>
          <w:kern w:val="0"/>
          <w:sz w:val="32"/>
          <w:szCs w:val="32"/>
          <w:lang w:val="zh-CN"/>
        </w:rPr>
        <w:t>南京审计大学金审学院智慧财务系统软件采购项目</w:t>
      </w:r>
    </w:p>
    <w:p w14:paraId="2F94E8AA">
      <w:pPr>
        <w:spacing w:line="360" w:lineRule="auto"/>
        <w:jc w:val="center"/>
        <w:rPr>
          <w:rFonts w:ascii="黑体" w:hAnsi="宋体" w:eastAsia="黑体" w:cs="宋体"/>
          <w:bCs/>
          <w:kern w:val="0"/>
          <w:sz w:val="32"/>
          <w:szCs w:val="32"/>
          <w:lang w:val="zh-CN"/>
        </w:rPr>
      </w:pPr>
    </w:p>
    <w:p w14:paraId="7EAE9E84">
      <w:pPr>
        <w:spacing w:line="360" w:lineRule="auto"/>
        <w:jc w:val="center"/>
        <w:rPr>
          <w:rFonts w:ascii="黑体" w:hAnsi="宋体" w:eastAsia="黑体" w:cs="宋体"/>
          <w:bCs/>
          <w:kern w:val="0"/>
          <w:sz w:val="32"/>
          <w:szCs w:val="32"/>
          <w:lang w:val="zh-CN"/>
        </w:rPr>
      </w:pPr>
    </w:p>
    <w:p w14:paraId="0C042937">
      <w:pPr>
        <w:spacing w:line="360" w:lineRule="auto"/>
        <w:jc w:val="center"/>
        <w:rPr>
          <w:rFonts w:ascii="黑体" w:hAnsi="宋体" w:eastAsia="黑体" w:cs="宋体"/>
          <w:bCs/>
          <w:kern w:val="0"/>
          <w:sz w:val="32"/>
          <w:szCs w:val="32"/>
          <w:lang w:val="zh-CN"/>
        </w:rPr>
      </w:pPr>
    </w:p>
    <w:p w14:paraId="16ADCED1">
      <w:pPr>
        <w:spacing w:line="360" w:lineRule="auto"/>
        <w:jc w:val="center"/>
        <w:rPr>
          <w:rFonts w:ascii="黑体" w:hAnsi="宋体" w:eastAsia="黑体" w:cs="宋体"/>
          <w:kern w:val="0"/>
          <w:sz w:val="32"/>
          <w:szCs w:val="32"/>
          <w:lang w:val="zh-CN"/>
        </w:rPr>
      </w:pPr>
      <w:r>
        <w:rPr>
          <w:rFonts w:hint="eastAsia" w:ascii="黑体" w:hAnsi="宋体" w:eastAsia="黑体" w:cs="宋体"/>
          <w:kern w:val="0"/>
          <w:sz w:val="72"/>
          <w:szCs w:val="72"/>
          <w:lang w:val="zh-CN"/>
        </w:rPr>
        <w:t>响应文件</w:t>
      </w:r>
    </w:p>
    <w:p w14:paraId="24E3E55E">
      <w:pPr>
        <w:spacing w:line="360" w:lineRule="auto"/>
        <w:jc w:val="center"/>
        <w:rPr>
          <w:rFonts w:ascii="黑体" w:hAnsi="宋体" w:eastAsia="黑体" w:cs="宋体"/>
          <w:bCs/>
          <w:kern w:val="0"/>
          <w:sz w:val="32"/>
          <w:szCs w:val="32"/>
          <w:lang w:val="zh-CN"/>
        </w:rPr>
      </w:pPr>
    </w:p>
    <w:p w14:paraId="55E31EE3">
      <w:pPr>
        <w:spacing w:line="360" w:lineRule="auto"/>
        <w:jc w:val="center"/>
        <w:rPr>
          <w:rFonts w:ascii="黑体" w:hAnsi="宋体" w:eastAsia="黑体" w:cs="宋体"/>
          <w:bCs/>
          <w:kern w:val="0"/>
          <w:sz w:val="32"/>
          <w:szCs w:val="32"/>
          <w:lang w:val="zh-CN"/>
        </w:rPr>
      </w:pPr>
    </w:p>
    <w:p w14:paraId="0524DF35">
      <w:pPr>
        <w:spacing w:line="360" w:lineRule="auto"/>
        <w:jc w:val="center"/>
        <w:rPr>
          <w:rFonts w:ascii="黑体" w:hAnsi="宋体" w:eastAsia="黑体" w:cs="宋体"/>
          <w:bCs/>
          <w:kern w:val="0"/>
          <w:sz w:val="32"/>
          <w:szCs w:val="32"/>
          <w:lang w:val="zh-CN"/>
        </w:rPr>
      </w:pPr>
    </w:p>
    <w:p w14:paraId="7293A794">
      <w:pPr>
        <w:spacing w:line="360" w:lineRule="auto"/>
        <w:jc w:val="center"/>
        <w:rPr>
          <w:rFonts w:ascii="黑体" w:hAnsi="宋体" w:eastAsia="黑体" w:cs="宋体"/>
          <w:bCs/>
          <w:kern w:val="0"/>
          <w:sz w:val="32"/>
          <w:szCs w:val="32"/>
          <w:lang w:val="zh-CN"/>
        </w:rPr>
      </w:pPr>
    </w:p>
    <w:p w14:paraId="2590C2DE">
      <w:pPr>
        <w:spacing w:line="360" w:lineRule="auto"/>
        <w:jc w:val="center"/>
        <w:rPr>
          <w:rFonts w:ascii="黑体" w:hAnsi="宋体" w:eastAsia="黑体" w:cs="宋体"/>
          <w:bCs/>
          <w:kern w:val="0"/>
          <w:sz w:val="32"/>
          <w:szCs w:val="32"/>
          <w:lang w:val="zh-CN"/>
        </w:rPr>
      </w:pPr>
    </w:p>
    <w:p w14:paraId="3D9079EB">
      <w:pPr>
        <w:spacing w:line="360" w:lineRule="auto"/>
        <w:ind w:firstLine="1920" w:firstLineChars="600"/>
        <w:rPr>
          <w:rFonts w:ascii="黑体" w:hAnsi="宋体" w:eastAsia="黑体" w:cs="宋体"/>
          <w:kern w:val="0"/>
          <w:sz w:val="32"/>
          <w:szCs w:val="32"/>
          <w:lang w:val="zh-CN"/>
        </w:rPr>
      </w:pPr>
      <w:r>
        <w:rPr>
          <w:rFonts w:hint="eastAsia" w:ascii="黑体" w:hAnsi="宋体" w:eastAsia="黑体" w:cs="宋体"/>
          <w:kern w:val="0"/>
          <w:sz w:val="32"/>
          <w:szCs w:val="32"/>
          <w:lang w:val="zh-CN"/>
        </w:rPr>
        <w:t>校方编号：</w:t>
      </w:r>
      <w:r>
        <w:rPr>
          <w:rFonts w:hint="eastAsia" w:ascii="黑体" w:hAnsi="宋体" w:eastAsia="黑体" w:cs="宋体"/>
          <w:kern w:val="0"/>
          <w:sz w:val="32"/>
          <w:szCs w:val="32"/>
          <w:u w:val="single"/>
          <w:lang w:val="zh-CN"/>
        </w:rPr>
        <w:t xml:space="preserve">                     </w:t>
      </w:r>
    </w:p>
    <w:p w14:paraId="6AA1F9D8">
      <w:pPr>
        <w:spacing w:line="360" w:lineRule="auto"/>
        <w:ind w:firstLine="1920" w:firstLineChars="600"/>
        <w:rPr>
          <w:rFonts w:ascii="黑体" w:hAnsi="宋体" w:eastAsia="黑体" w:cs="宋体"/>
          <w:bCs/>
          <w:kern w:val="0"/>
          <w:sz w:val="32"/>
          <w:szCs w:val="32"/>
          <w:lang w:val="zh-CN"/>
        </w:rPr>
      </w:pPr>
      <w:r>
        <w:rPr>
          <w:rFonts w:hint="eastAsia" w:ascii="黑体" w:hAnsi="宋体" w:eastAsia="黑体" w:cs="宋体"/>
          <w:kern w:val="0"/>
          <w:sz w:val="32"/>
          <w:szCs w:val="32"/>
          <w:lang w:val="zh-CN"/>
        </w:rPr>
        <w:t>采购编号：</w:t>
      </w:r>
      <w:r>
        <w:rPr>
          <w:rFonts w:hint="eastAsia" w:ascii="黑体" w:hAnsi="宋体" w:eastAsia="黑体" w:cs="宋体"/>
          <w:kern w:val="0"/>
          <w:sz w:val="32"/>
          <w:szCs w:val="32"/>
          <w:u w:val="single"/>
          <w:lang w:val="zh-CN"/>
        </w:rPr>
        <w:t xml:space="preserve">     </w:t>
      </w:r>
      <w:r>
        <w:rPr>
          <w:rFonts w:hint="eastAsia" w:ascii="黑体" w:hAnsi="宋体" w:eastAsia="黑体" w:cs="宋体"/>
          <w:kern w:val="0"/>
          <w:sz w:val="32"/>
          <w:szCs w:val="32"/>
          <w:u w:val="single"/>
        </w:rPr>
        <w:t xml:space="preserve">    </w:t>
      </w:r>
      <w:r>
        <w:rPr>
          <w:rFonts w:hint="eastAsia" w:ascii="黑体" w:hAnsi="宋体" w:eastAsia="黑体" w:cs="宋体"/>
          <w:kern w:val="0"/>
          <w:sz w:val="32"/>
          <w:szCs w:val="32"/>
          <w:u w:val="single"/>
          <w:lang w:val="zh-CN"/>
        </w:rPr>
        <w:t xml:space="preserve">    </w:t>
      </w:r>
      <w:r>
        <w:rPr>
          <w:rFonts w:hint="eastAsia" w:ascii="黑体" w:hAnsi="宋体" w:eastAsia="黑体" w:cs="宋体"/>
          <w:kern w:val="0"/>
          <w:sz w:val="32"/>
          <w:szCs w:val="32"/>
          <w:u w:val="single"/>
        </w:rPr>
        <w:t xml:space="preserve">  </w:t>
      </w:r>
      <w:r>
        <w:rPr>
          <w:rFonts w:hint="eastAsia" w:ascii="黑体" w:hAnsi="宋体" w:eastAsia="黑体" w:cs="宋体"/>
          <w:kern w:val="0"/>
          <w:sz w:val="32"/>
          <w:szCs w:val="32"/>
          <w:u w:val="single"/>
          <w:lang w:val="zh-CN"/>
        </w:rPr>
        <w:t xml:space="preserve">      </w:t>
      </w:r>
    </w:p>
    <w:p w14:paraId="62FACCA0">
      <w:pPr>
        <w:spacing w:line="360" w:lineRule="auto"/>
        <w:ind w:firstLine="1920" w:firstLineChars="600"/>
        <w:rPr>
          <w:rFonts w:ascii="黑体" w:hAnsi="宋体" w:eastAsia="黑体" w:cs="宋体"/>
          <w:kern w:val="0"/>
          <w:sz w:val="32"/>
          <w:szCs w:val="32"/>
          <w:lang w:val="zh-CN"/>
        </w:rPr>
      </w:pPr>
      <w:r>
        <w:rPr>
          <w:rFonts w:hint="eastAsia" w:ascii="黑体" w:hAnsi="宋体" w:eastAsia="黑体" w:cs="宋体"/>
          <w:kern w:val="0"/>
          <w:sz w:val="32"/>
          <w:szCs w:val="32"/>
          <w:lang w:val="zh-CN"/>
        </w:rPr>
        <w:t>投 标 人：</w:t>
      </w:r>
      <w:r>
        <w:rPr>
          <w:rFonts w:hint="eastAsia" w:ascii="黑体" w:hAnsi="宋体" w:eastAsia="黑体" w:cs="宋体"/>
          <w:kern w:val="0"/>
          <w:sz w:val="32"/>
          <w:szCs w:val="32"/>
          <w:u w:val="single"/>
          <w:lang w:val="zh-CN"/>
        </w:rPr>
        <w:t xml:space="preserve">     </w:t>
      </w:r>
      <w:r>
        <w:rPr>
          <w:rFonts w:hint="eastAsia" w:ascii="黑体" w:hAnsi="宋体" w:eastAsia="黑体" w:cs="宋体"/>
          <w:kern w:val="0"/>
          <w:sz w:val="32"/>
          <w:szCs w:val="32"/>
          <w:u w:val="single"/>
        </w:rPr>
        <w:t xml:space="preserve">    </w:t>
      </w:r>
      <w:r>
        <w:rPr>
          <w:rFonts w:hint="eastAsia" w:ascii="黑体" w:hAnsi="宋体" w:eastAsia="黑体" w:cs="宋体"/>
          <w:kern w:val="0"/>
          <w:sz w:val="32"/>
          <w:szCs w:val="32"/>
          <w:u w:val="single"/>
          <w:lang w:val="zh-CN"/>
        </w:rPr>
        <w:t xml:space="preserve">    </w:t>
      </w:r>
      <w:r>
        <w:rPr>
          <w:rFonts w:hint="eastAsia" w:ascii="黑体" w:hAnsi="宋体" w:eastAsia="黑体" w:cs="宋体"/>
          <w:kern w:val="0"/>
          <w:sz w:val="32"/>
          <w:szCs w:val="32"/>
          <w:u w:val="single"/>
        </w:rPr>
        <w:t xml:space="preserve">  </w:t>
      </w:r>
      <w:r>
        <w:rPr>
          <w:rFonts w:hint="eastAsia" w:ascii="黑体" w:hAnsi="宋体" w:eastAsia="黑体" w:cs="宋体"/>
          <w:kern w:val="0"/>
          <w:sz w:val="32"/>
          <w:szCs w:val="32"/>
          <w:u w:val="single"/>
          <w:lang w:val="zh-CN"/>
        </w:rPr>
        <w:t xml:space="preserve">      </w:t>
      </w:r>
      <w:r>
        <w:rPr>
          <w:rFonts w:hint="eastAsia" w:ascii="黑体" w:hAnsi="宋体" w:eastAsia="黑体" w:cs="宋体"/>
          <w:kern w:val="0"/>
          <w:sz w:val="32"/>
          <w:szCs w:val="32"/>
          <w:lang w:val="zh-CN"/>
        </w:rPr>
        <w:t>（单位公章）</w:t>
      </w:r>
    </w:p>
    <w:p w14:paraId="4A890B50">
      <w:pPr>
        <w:spacing w:line="360" w:lineRule="auto"/>
        <w:ind w:firstLine="1920" w:firstLineChars="600"/>
        <w:rPr>
          <w:rFonts w:ascii="黑体" w:hAnsi="宋体" w:eastAsia="黑体" w:cs="宋体"/>
          <w:bCs/>
          <w:kern w:val="0"/>
          <w:sz w:val="32"/>
          <w:szCs w:val="32"/>
          <w:lang w:val="zh-CN"/>
        </w:rPr>
      </w:pPr>
      <w:r>
        <w:rPr>
          <w:rFonts w:hint="eastAsia" w:ascii="黑体" w:hAnsi="宋体" w:eastAsia="黑体" w:cs="宋体"/>
          <w:kern w:val="0"/>
          <w:sz w:val="32"/>
          <w:szCs w:val="32"/>
          <w:lang w:val="zh-CN"/>
        </w:rPr>
        <w:t>联</w:t>
      </w:r>
      <w:r>
        <w:rPr>
          <w:rFonts w:hint="eastAsia" w:ascii="黑体" w:hAnsi="宋体" w:eastAsia="黑体" w:cs="宋体"/>
          <w:kern w:val="0"/>
          <w:sz w:val="32"/>
          <w:szCs w:val="32"/>
        </w:rPr>
        <w:t xml:space="preserve"> </w:t>
      </w:r>
      <w:r>
        <w:rPr>
          <w:rFonts w:hint="eastAsia" w:ascii="黑体" w:hAnsi="宋体" w:eastAsia="黑体" w:cs="宋体"/>
          <w:kern w:val="0"/>
          <w:sz w:val="32"/>
          <w:szCs w:val="32"/>
          <w:lang w:val="zh-CN"/>
        </w:rPr>
        <w:t>系</w:t>
      </w:r>
      <w:r>
        <w:rPr>
          <w:rFonts w:hint="eastAsia" w:ascii="黑体" w:hAnsi="宋体" w:eastAsia="黑体" w:cs="宋体"/>
          <w:kern w:val="0"/>
          <w:sz w:val="32"/>
          <w:szCs w:val="32"/>
        </w:rPr>
        <w:t xml:space="preserve"> </w:t>
      </w:r>
      <w:r>
        <w:rPr>
          <w:rFonts w:hint="eastAsia" w:ascii="黑体" w:hAnsi="宋体" w:eastAsia="黑体" w:cs="宋体"/>
          <w:kern w:val="0"/>
          <w:sz w:val="32"/>
          <w:szCs w:val="32"/>
          <w:lang w:val="zh-CN"/>
        </w:rPr>
        <w:t>人：</w:t>
      </w:r>
      <w:r>
        <w:rPr>
          <w:rFonts w:hint="eastAsia" w:ascii="黑体" w:hAnsi="宋体" w:eastAsia="黑体" w:cs="宋体"/>
          <w:kern w:val="0"/>
          <w:sz w:val="32"/>
          <w:szCs w:val="32"/>
          <w:u w:val="single"/>
          <w:lang w:val="zh-CN"/>
        </w:rPr>
        <w:t xml:space="preserve">     </w:t>
      </w:r>
      <w:r>
        <w:rPr>
          <w:rFonts w:hint="eastAsia" w:ascii="黑体" w:hAnsi="宋体" w:eastAsia="黑体" w:cs="宋体"/>
          <w:kern w:val="0"/>
          <w:sz w:val="32"/>
          <w:szCs w:val="32"/>
          <w:u w:val="single"/>
        </w:rPr>
        <w:t xml:space="preserve">    </w:t>
      </w:r>
      <w:r>
        <w:rPr>
          <w:rFonts w:hint="eastAsia" w:ascii="黑体" w:hAnsi="宋体" w:eastAsia="黑体" w:cs="宋体"/>
          <w:kern w:val="0"/>
          <w:sz w:val="32"/>
          <w:szCs w:val="32"/>
          <w:u w:val="single"/>
          <w:lang w:val="zh-CN"/>
        </w:rPr>
        <w:t xml:space="preserve">    </w:t>
      </w:r>
      <w:r>
        <w:rPr>
          <w:rFonts w:hint="eastAsia" w:ascii="黑体" w:hAnsi="宋体" w:eastAsia="黑体" w:cs="宋体"/>
          <w:kern w:val="0"/>
          <w:sz w:val="32"/>
          <w:szCs w:val="32"/>
          <w:u w:val="single"/>
        </w:rPr>
        <w:t xml:space="preserve">  </w:t>
      </w:r>
      <w:r>
        <w:rPr>
          <w:rFonts w:hint="eastAsia" w:ascii="黑体" w:hAnsi="宋体" w:eastAsia="黑体" w:cs="宋体"/>
          <w:kern w:val="0"/>
          <w:sz w:val="32"/>
          <w:szCs w:val="32"/>
          <w:u w:val="single"/>
          <w:lang w:val="zh-CN"/>
        </w:rPr>
        <w:t xml:space="preserve">      </w:t>
      </w:r>
    </w:p>
    <w:p w14:paraId="0683D934">
      <w:pPr>
        <w:spacing w:line="360" w:lineRule="auto"/>
        <w:ind w:firstLine="1920" w:firstLineChars="600"/>
        <w:rPr>
          <w:rFonts w:ascii="黑体" w:hAnsi="宋体" w:eastAsia="黑体" w:cs="宋体"/>
          <w:kern w:val="0"/>
          <w:sz w:val="32"/>
          <w:szCs w:val="32"/>
          <w:lang w:val="zh-CN"/>
        </w:rPr>
      </w:pPr>
      <w:r>
        <w:rPr>
          <w:rFonts w:hint="eastAsia" w:ascii="黑体" w:hAnsi="宋体" w:eastAsia="黑体" w:cs="宋体"/>
          <w:kern w:val="0"/>
          <w:sz w:val="32"/>
          <w:szCs w:val="32"/>
          <w:lang w:val="zh-CN"/>
        </w:rPr>
        <w:t>联系方式：</w:t>
      </w:r>
      <w:r>
        <w:rPr>
          <w:rFonts w:hint="eastAsia" w:ascii="黑体" w:hAnsi="宋体" w:eastAsia="黑体" w:cs="宋体"/>
          <w:kern w:val="0"/>
          <w:sz w:val="32"/>
          <w:szCs w:val="32"/>
          <w:u w:val="single"/>
          <w:lang w:val="zh-CN"/>
        </w:rPr>
        <w:t xml:space="preserve">     </w:t>
      </w:r>
      <w:r>
        <w:rPr>
          <w:rFonts w:hint="eastAsia" w:ascii="黑体" w:hAnsi="宋体" w:eastAsia="黑体" w:cs="宋体"/>
          <w:kern w:val="0"/>
          <w:sz w:val="32"/>
          <w:szCs w:val="32"/>
          <w:u w:val="single"/>
        </w:rPr>
        <w:t xml:space="preserve">    </w:t>
      </w:r>
      <w:r>
        <w:rPr>
          <w:rFonts w:hint="eastAsia" w:ascii="黑体" w:hAnsi="宋体" w:eastAsia="黑体" w:cs="宋体"/>
          <w:kern w:val="0"/>
          <w:sz w:val="32"/>
          <w:szCs w:val="32"/>
          <w:u w:val="single"/>
          <w:lang w:val="zh-CN"/>
        </w:rPr>
        <w:t xml:space="preserve">    </w:t>
      </w:r>
      <w:r>
        <w:rPr>
          <w:rFonts w:hint="eastAsia" w:ascii="黑体" w:hAnsi="宋体" w:eastAsia="黑体" w:cs="宋体"/>
          <w:kern w:val="0"/>
          <w:sz w:val="32"/>
          <w:szCs w:val="32"/>
          <w:u w:val="single"/>
        </w:rPr>
        <w:t xml:space="preserve">  </w:t>
      </w:r>
      <w:r>
        <w:rPr>
          <w:rFonts w:hint="eastAsia" w:ascii="黑体" w:hAnsi="宋体" w:eastAsia="黑体" w:cs="宋体"/>
          <w:kern w:val="0"/>
          <w:sz w:val="32"/>
          <w:szCs w:val="32"/>
          <w:u w:val="single"/>
          <w:lang w:val="zh-CN"/>
        </w:rPr>
        <w:t xml:space="preserve">      </w:t>
      </w:r>
    </w:p>
    <w:p w14:paraId="0B304AE7">
      <w:pPr>
        <w:spacing w:line="360" w:lineRule="auto"/>
        <w:ind w:firstLine="1920" w:firstLineChars="600"/>
        <w:rPr>
          <w:rFonts w:ascii="黑体" w:hAnsi="宋体" w:eastAsia="黑体" w:cs="宋体"/>
          <w:kern w:val="0"/>
          <w:sz w:val="32"/>
          <w:szCs w:val="32"/>
          <w:u w:val="single"/>
          <w:lang w:val="zh-CN"/>
        </w:rPr>
      </w:pPr>
      <w:r>
        <w:rPr>
          <w:rFonts w:hint="eastAsia" w:ascii="黑体" w:hAnsi="宋体" w:eastAsia="黑体" w:cs="宋体"/>
          <w:kern w:val="0"/>
          <w:sz w:val="32"/>
          <w:szCs w:val="32"/>
          <w:lang w:val="zh-CN"/>
        </w:rPr>
        <w:t>单位地址：</w:t>
      </w:r>
      <w:r>
        <w:rPr>
          <w:rFonts w:hint="eastAsia" w:ascii="黑体" w:hAnsi="宋体" w:eastAsia="黑体" w:cs="宋体"/>
          <w:kern w:val="0"/>
          <w:sz w:val="32"/>
          <w:szCs w:val="32"/>
          <w:u w:val="single"/>
          <w:lang w:val="zh-CN"/>
        </w:rPr>
        <w:t xml:space="preserve">     </w:t>
      </w:r>
      <w:r>
        <w:rPr>
          <w:rFonts w:hint="eastAsia" w:ascii="黑体" w:hAnsi="宋体" w:eastAsia="黑体" w:cs="宋体"/>
          <w:kern w:val="0"/>
          <w:sz w:val="32"/>
          <w:szCs w:val="32"/>
          <w:u w:val="single"/>
        </w:rPr>
        <w:t xml:space="preserve">    </w:t>
      </w:r>
      <w:r>
        <w:rPr>
          <w:rFonts w:hint="eastAsia" w:ascii="黑体" w:hAnsi="宋体" w:eastAsia="黑体" w:cs="宋体"/>
          <w:kern w:val="0"/>
          <w:sz w:val="32"/>
          <w:szCs w:val="32"/>
          <w:u w:val="single"/>
          <w:lang w:val="zh-CN"/>
        </w:rPr>
        <w:t xml:space="preserve">    </w:t>
      </w:r>
      <w:r>
        <w:rPr>
          <w:rFonts w:hint="eastAsia" w:ascii="黑体" w:hAnsi="宋体" w:eastAsia="黑体" w:cs="宋体"/>
          <w:kern w:val="0"/>
          <w:sz w:val="32"/>
          <w:szCs w:val="32"/>
          <w:u w:val="single"/>
        </w:rPr>
        <w:t xml:space="preserve">  </w:t>
      </w:r>
      <w:r>
        <w:rPr>
          <w:rFonts w:hint="eastAsia" w:ascii="黑体" w:hAnsi="宋体" w:eastAsia="黑体" w:cs="宋体"/>
          <w:kern w:val="0"/>
          <w:sz w:val="32"/>
          <w:szCs w:val="32"/>
          <w:u w:val="single"/>
          <w:lang w:val="zh-CN"/>
        </w:rPr>
        <w:t xml:space="preserve">      </w:t>
      </w:r>
    </w:p>
    <w:p w14:paraId="56B63D6F">
      <w:pPr>
        <w:autoSpaceDE w:val="0"/>
        <w:autoSpaceDN w:val="0"/>
        <w:adjustRightInd w:val="0"/>
        <w:spacing w:line="360" w:lineRule="auto"/>
        <w:ind w:firstLine="3520" w:firstLineChars="1100"/>
        <w:rPr>
          <w:rFonts w:ascii="宋体" w:hAnsi="宋体"/>
          <w:szCs w:val="21"/>
          <w:lang w:val="zh-CN"/>
        </w:rPr>
      </w:pPr>
      <w:r>
        <w:rPr>
          <w:rFonts w:hint="eastAsia" w:ascii="黑体" w:hAnsi="宋体" w:eastAsia="黑体"/>
          <w:sz w:val="32"/>
          <w:szCs w:val="32"/>
          <w:u w:val="single"/>
        </w:rPr>
        <w:t xml:space="preserve">     </w:t>
      </w:r>
      <w:r>
        <w:rPr>
          <w:rFonts w:hint="eastAsia" w:ascii="黑体" w:hAnsi="宋体" w:eastAsia="黑体"/>
          <w:sz w:val="32"/>
          <w:szCs w:val="32"/>
        </w:rPr>
        <w:t>年</w:t>
      </w:r>
      <w:r>
        <w:rPr>
          <w:rFonts w:hint="eastAsia" w:ascii="黑体" w:hAnsi="宋体" w:eastAsia="黑体"/>
          <w:sz w:val="32"/>
          <w:szCs w:val="32"/>
          <w:u w:val="single"/>
        </w:rPr>
        <w:t xml:space="preserve">   </w:t>
      </w:r>
      <w:r>
        <w:rPr>
          <w:rFonts w:hint="eastAsia" w:ascii="黑体" w:hAnsi="宋体" w:eastAsia="黑体"/>
          <w:sz w:val="32"/>
          <w:szCs w:val="32"/>
        </w:rPr>
        <w:t>月</w:t>
      </w:r>
      <w:r>
        <w:rPr>
          <w:rFonts w:hint="eastAsia" w:ascii="黑体" w:hAnsi="宋体" w:eastAsia="黑体"/>
          <w:sz w:val="32"/>
          <w:szCs w:val="32"/>
          <w:u w:val="single"/>
        </w:rPr>
        <w:t xml:space="preserve">   </w:t>
      </w:r>
      <w:r>
        <w:rPr>
          <w:rFonts w:hint="eastAsia" w:ascii="黑体" w:hAnsi="宋体" w:eastAsia="黑体"/>
          <w:sz w:val="32"/>
          <w:szCs w:val="32"/>
        </w:rPr>
        <w:t>日</w:t>
      </w:r>
    </w:p>
    <w:p w14:paraId="285FAA09">
      <w:pPr>
        <w:spacing w:line="360" w:lineRule="auto"/>
        <w:rPr>
          <w:rFonts w:ascii="宋体" w:cs="宋体"/>
        </w:rPr>
      </w:pPr>
      <w:r>
        <w:rPr>
          <w:sz w:val="36"/>
          <w:szCs w:val="36"/>
        </w:rPr>
        <w:br w:type="page"/>
      </w:r>
    </w:p>
    <w:p w14:paraId="790AE585">
      <w:pPr>
        <w:autoSpaceDE w:val="0"/>
        <w:autoSpaceDN w:val="0"/>
        <w:adjustRightInd w:val="0"/>
        <w:spacing w:line="360" w:lineRule="auto"/>
        <w:rPr>
          <w:rFonts w:ascii="宋体" w:cs="微软雅黑"/>
          <w:b/>
          <w:szCs w:val="21"/>
          <w:lang w:val="zh-CN"/>
        </w:rPr>
      </w:pPr>
      <w:r>
        <w:rPr>
          <w:rFonts w:hint="eastAsia" w:ascii="宋体" w:hAnsi="宋体" w:cs="微软雅黑"/>
          <w:b/>
          <w:szCs w:val="21"/>
          <w:lang w:val="zh-CN"/>
        </w:rPr>
        <w:t>附件一、磋商申请及声明格式</w:t>
      </w:r>
    </w:p>
    <w:p w14:paraId="32141FBF">
      <w:pPr>
        <w:autoSpaceDE w:val="0"/>
        <w:autoSpaceDN w:val="0"/>
        <w:adjustRightInd w:val="0"/>
        <w:spacing w:line="360" w:lineRule="auto"/>
        <w:jc w:val="center"/>
        <w:outlineLvl w:val="1"/>
        <w:rPr>
          <w:rFonts w:ascii="黑体" w:hAnsi="黑体" w:eastAsia="黑体" w:cs="黑体"/>
          <w:b/>
          <w:kern w:val="0"/>
          <w:sz w:val="24"/>
          <w:szCs w:val="24"/>
          <w:lang w:val="zh-CN"/>
        </w:rPr>
      </w:pPr>
      <w:bookmarkStart w:id="124" w:name="_Toc115787261"/>
      <w:r>
        <w:rPr>
          <w:rFonts w:hint="eastAsia" w:ascii="宋体" w:hAnsi="宋体" w:cs="微软雅黑"/>
          <w:b/>
          <w:bCs/>
          <w:sz w:val="32"/>
          <w:szCs w:val="32"/>
          <w:lang w:val="zh-CN"/>
        </w:rPr>
        <w:t>磋商申请及声明</w:t>
      </w:r>
      <w:bookmarkEnd w:id="124"/>
    </w:p>
    <w:p w14:paraId="4912A2C0">
      <w:pPr>
        <w:autoSpaceDE w:val="0"/>
        <w:autoSpaceDN w:val="0"/>
        <w:adjustRightInd w:val="0"/>
        <w:spacing w:line="360" w:lineRule="auto"/>
        <w:rPr>
          <w:rFonts w:ascii="宋体" w:hAnsi="宋体"/>
          <w:sz w:val="24"/>
          <w:szCs w:val="24"/>
        </w:rPr>
      </w:pPr>
      <w:r>
        <w:rPr>
          <w:rFonts w:ascii="宋体" w:hAnsi="宋体"/>
          <w:sz w:val="24"/>
          <w:szCs w:val="24"/>
          <w:lang w:val="zh-CN"/>
        </w:rPr>
        <w:t>致</w:t>
      </w:r>
      <w:r>
        <w:rPr>
          <w:rFonts w:hint="eastAsia" w:ascii="宋体" w:hAnsi="宋体"/>
          <w:sz w:val="24"/>
          <w:szCs w:val="24"/>
        </w:rPr>
        <w:t>：</w:t>
      </w:r>
      <w:r>
        <w:rPr>
          <w:rFonts w:hint="eastAsia" w:ascii="宋体" w:hAnsi="宋体"/>
          <w:sz w:val="24"/>
          <w:szCs w:val="24"/>
          <w:lang w:val="zh-CN"/>
        </w:rPr>
        <w:t>南京审计大学金审学院</w:t>
      </w:r>
    </w:p>
    <w:p w14:paraId="6AFA7AB6">
      <w:pPr>
        <w:autoSpaceDE w:val="0"/>
        <w:autoSpaceDN w:val="0"/>
        <w:adjustRightInd w:val="0"/>
        <w:spacing w:line="360" w:lineRule="auto"/>
        <w:ind w:firstLine="420"/>
        <w:rPr>
          <w:rFonts w:ascii="宋体" w:hAnsi="宋体"/>
          <w:sz w:val="24"/>
          <w:szCs w:val="24"/>
          <w:lang w:val="zh-CN"/>
        </w:rPr>
      </w:pPr>
      <w:r>
        <w:rPr>
          <w:rFonts w:hint="eastAsia" w:ascii="宋体" w:hAnsi="宋体"/>
          <w:sz w:val="24"/>
          <w:szCs w:val="24"/>
          <w:lang w:val="zh-CN"/>
        </w:rPr>
        <w:t>根据贵方</w:t>
      </w:r>
      <w:r>
        <w:rPr>
          <w:rFonts w:hint="eastAsia" w:ascii="宋体" w:hAnsi="宋体"/>
          <w:sz w:val="24"/>
          <w:szCs w:val="24"/>
          <w:u w:val="single"/>
          <w:lang w:val="zh-CN"/>
        </w:rPr>
        <w:t xml:space="preserve">                            </w:t>
      </w:r>
      <w:r>
        <w:rPr>
          <w:rFonts w:hint="eastAsia" w:ascii="宋体" w:hAnsi="宋体"/>
          <w:sz w:val="24"/>
          <w:szCs w:val="24"/>
          <w:lang w:val="zh-CN"/>
        </w:rPr>
        <w:t>（项目名称）（采购编号）磋商邀请，正式授权下述签字人</w:t>
      </w:r>
      <w:r>
        <w:rPr>
          <w:rFonts w:ascii="宋体" w:hAnsi="宋体"/>
          <w:sz w:val="24"/>
          <w:szCs w:val="24"/>
          <w:u w:val="single"/>
          <w:lang w:val="zh-CN"/>
        </w:rPr>
        <w:t xml:space="preserve">                   </w:t>
      </w:r>
      <w:r>
        <w:rPr>
          <w:rFonts w:ascii="宋体" w:hAnsi="宋体"/>
          <w:sz w:val="24"/>
          <w:szCs w:val="24"/>
          <w:lang w:val="zh-CN"/>
        </w:rPr>
        <w:t>(</w:t>
      </w:r>
      <w:r>
        <w:rPr>
          <w:rFonts w:hint="eastAsia" w:ascii="宋体" w:hAnsi="宋体"/>
          <w:sz w:val="24"/>
          <w:szCs w:val="24"/>
          <w:lang w:val="zh-CN"/>
        </w:rPr>
        <w:t>姓名和职务</w:t>
      </w:r>
      <w:r>
        <w:rPr>
          <w:rFonts w:ascii="宋体" w:hAnsi="宋体"/>
          <w:sz w:val="24"/>
          <w:szCs w:val="24"/>
          <w:lang w:val="zh-CN"/>
        </w:rPr>
        <w:t>)</w:t>
      </w:r>
      <w:r>
        <w:rPr>
          <w:rFonts w:hint="eastAsia" w:ascii="宋体" w:hAnsi="宋体"/>
          <w:sz w:val="24"/>
          <w:szCs w:val="24"/>
          <w:lang w:val="zh-CN"/>
        </w:rPr>
        <w:t>代表</w:t>
      </w:r>
      <w:r>
        <w:rPr>
          <w:rFonts w:ascii="宋体" w:hAnsi="宋体"/>
          <w:sz w:val="24"/>
          <w:szCs w:val="24"/>
          <w:u w:val="single"/>
          <w:lang w:val="zh-CN"/>
        </w:rPr>
        <w:t xml:space="preserve">                        </w:t>
      </w:r>
      <w:r>
        <w:rPr>
          <w:rFonts w:hint="eastAsia" w:ascii="宋体" w:hAnsi="宋体"/>
          <w:sz w:val="24"/>
          <w:szCs w:val="24"/>
          <w:lang w:val="zh-CN"/>
        </w:rPr>
        <w:t>（供应商名称），提交响应文件并参加磋商。</w:t>
      </w:r>
    </w:p>
    <w:p w14:paraId="26428597">
      <w:pPr>
        <w:spacing w:line="360" w:lineRule="auto"/>
        <w:ind w:firstLine="480" w:firstLineChars="200"/>
        <w:rPr>
          <w:rFonts w:ascii="宋体" w:hAnsi="宋体"/>
          <w:sz w:val="24"/>
          <w:szCs w:val="24"/>
        </w:rPr>
      </w:pPr>
      <w:r>
        <w:rPr>
          <w:rFonts w:hint="eastAsia" w:ascii="宋体" w:hAnsi="宋体"/>
          <w:sz w:val="24"/>
          <w:szCs w:val="24"/>
        </w:rPr>
        <w:t>据此函，签字人兹宣布同意如下：</w:t>
      </w:r>
    </w:p>
    <w:p w14:paraId="610BB3DE">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lang w:val="zh-CN"/>
        </w:rPr>
        <w:t>我们的资格条件完全符合本次采购要求</w:t>
      </w:r>
      <w:r>
        <w:rPr>
          <w:rFonts w:hint="eastAsia" w:ascii="宋体" w:hAnsi="宋体"/>
          <w:sz w:val="24"/>
          <w:szCs w:val="24"/>
          <w:lang w:val="zh-CN"/>
        </w:rPr>
        <w:t>，</w:t>
      </w:r>
      <w:r>
        <w:rPr>
          <w:rFonts w:hint="eastAsia" w:ascii="宋体" w:hAnsi="宋体"/>
          <w:sz w:val="24"/>
          <w:szCs w:val="24"/>
        </w:rPr>
        <w:t>我们</w:t>
      </w:r>
      <w:r>
        <w:rPr>
          <w:rFonts w:hint="eastAsia" w:ascii="宋体" w:hAnsi="宋体"/>
          <w:sz w:val="24"/>
          <w:szCs w:val="24"/>
          <w:lang w:val="zh-CN"/>
        </w:rPr>
        <w:t>同意并向贵方提供了与本次采购活动有关的所有证据和资料</w:t>
      </w:r>
      <w:r>
        <w:rPr>
          <w:rFonts w:hint="eastAsia" w:ascii="宋体" w:hAnsi="宋体"/>
          <w:sz w:val="24"/>
          <w:szCs w:val="24"/>
        </w:rPr>
        <w:t>。</w:t>
      </w:r>
    </w:p>
    <w:p w14:paraId="19002677">
      <w:pPr>
        <w:spacing w:line="360" w:lineRule="auto"/>
        <w:ind w:firstLine="480" w:firstLineChars="200"/>
        <w:rPr>
          <w:rFonts w:ascii="宋体" w:hAnsi="宋体"/>
          <w:sz w:val="24"/>
          <w:szCs w:val="24"/>
          <w:lang w:val="zh-CN"/>
        </w:rPr>
      </w:pPr>
      <w:r>
        <w:rPr>
          <w:rFonts w:hint="eastAsia" w:ascii="宋体" w:hAnsi="宋体"/>
          <w:sz w:val="24"/>
          <w:szCs w:val="24"/>
        </w:rPr>
        <w:t>2、货物、服务和工程名称：</w:t>
      </w:r>
      <w:r>
        <w:rPr>
          <w:rFonts w:hint="eastAsia" w:ascii="宋体" w:hAnsi="宋体"/>
          <w:sz w:val="24"/>
          <w:szCs w:val="24"/>
          <w:u w:val="single"/>
        </w:rPr>
        <w:t xml:space="preserve">                                             </w:t>
      </w:r>
      <w:r>
        <w:rPr>
          <w:rFonts w:hint="eastAsia" w:ascii="宋体" w:hAnsi="宋体"/>
          <w:sz w:val="24"/>
          <w:szCs w:val="24"/>
        </w:rPr>
        <w:t>。</w:t>
      </w:r>
    </w:p>
    <w:p w14:paraId="35D05C67">
      <w:pPr>
        <w:spacing w:line="360" w:lineRule="auto"/>
        <w:ind w:firstLine="480" w:firstLineChars="200"/>
        <w:rPr>
          <w:rFonts w:ascii="宋体" w:hAnsi="宋体"/>
          <w:sz w:val="24"/>
          <w:szCs w:val="24"/>
        </w:rPr>
      </w:pPr>
      <w:r>
        <w:rPr>
          <w:rFonts w:hint="eastAsia" w:ascii="宋体" w:hAnsi="宋体"/>
          <w:sz w:val="24"/>
          <w:szCs w:val="24"/>
        </w:rPr>
        <w:t>3、磋商报价为：</w:t>
      </w:r>
      <w:r>
        <w:rPr>
          <w:rFonts w:hint="eastAsia" w:ascii="宋体" w:hAnsi="宋体"/>
          <w:sz w:val="24"/>
          <w:szCs w:val="24"/>
          <w:u w:val="single"/>
        </w:rPr>
        <w:t xml:space="preserve">     </w:t>
      </w:r>
      <w:r>
        <w:rPr>
          <w:rFonts w:hint="eastAsia" w:ascii="宋体" w:hAnsi="宋体"/>
          <w:sz w:val="24"/>
          <w:szCs w:val="24"/>
        </w:rPr>
        <w:t>（大写）元人民币，小写：</w:t>
      </w:r>
      <w:r>
        <w:rPr>
          <w:rFonts w:hint="eastAsia" w:ascii="宋体" w:hAnsi="宋体"/>
          <w:sz w:val="24"/>
          <w:szCs w:val="24"/>
          <w:u w:val="single"/>
        </w:rPr>
        <w:t xml:space="preserve">  </w:t>
      </w:r>
      <w:r>
        <w:rPr>
          <w:rFonts w:hint="eastAsia" w:ascii="宋体" w:hAnsi="宋体"/>
          <w:sz w:val="24"/>
          <w:szCs w:val="24"/>
        </w:rPr>
        <w:t>元。</w:t>
      </w:r>
    </w:p>
    <w:p w14:paraId="1575A59A">
      <w:pPr>
        <w:spacing w:line="360" w:lineRule="auto"/>
        <w:ind w:firstLine="480" w:firstLineChars="200"/>
        <w:rPr>
          <w:rFonts w:ascii="宋体" w:hAnsi="宋体"/>
          <w:sz w:val="24"/>
          <w:szCs w:val="24"/>
        </w:rPr>
      </w:pPr>
      <w:r>
        <w:rPr>
          <w:rFonts w:hint="eastAsia" w:ascii="宋体" w:hAnsi="宋体"/>
          <w:sz w:val="24"/>
          <w:szCs w:val="24"/>
        </w:rPr>
        <w:t>项目负责人姓名：</w:t>
      </w:r>
      <w:r>
        <w:rPr>
          <w:rFonts w:hint="eastAsia" w:ascii="宋体" w:hAnsi="宋体"/>
          <w:sz w:val="24"/>
          <w:szCs w:val="24"/>
          <w:u w:val="single"/>
        </w:rPr>
        <w:t xml:space="preserve">       </w:t>
      </w:r>
      <w:r>
        <w:rPr>
          <w:rFonts w:hint="eastAsia" w:ascii="宋体" w:hAnsi="宋体"/>
          <w:sz w:val="24"/>
          <w:szCs w:val="24"/>
        </w:rPr>
        <w:t xml:space="preserve">      </w:t>
      </w:r>
    </w:p>
    <w:p w14:paraId="5D5EB1AD">
      <w:pPr>
        <w:spacing w:line="360" w:lineRule="auto"/>
        <w:ind w:firstLine="480" w:firstLineChars="200"/>
        <w:rPr>
          <w:rFonts w:ascii="宋体" w:hAnsi="宋体"/>
          <w:sz w:val="24"/>
          <w:szCs w:val="24"/>
        </w:rPr>
      </w:pPr>
      <w:r>
        <w:rPr>
          <w:rFonts w:hint="eastAsia" w:ascii="宋体" w:hAnsi="宋体"/>
          <w:sz w:val="24"/>
          <w:szCs w:val="24"/>
        </w:rPr>
        <w:t>合同履行期限：</w:t>
      </w:r>
    </w:p>
    <w:p w14:paraId="08078901">
      <w:pPr>
        <w:spacing w:line="360" w:lineRule="auto"/>
        <w:ind w:firstLine="480" w:firstLineChars="200"/>
        <w:rPr>
          <w:rFonts w:ascii="宋体" w:hAnsi="宋体"/>
          <w:sz w:val="24"/>
          <w:szCs w:val="24"/>
        </w:rPr>
      </w:pPr>
      <w:r>
        <w:rPr>
          <w:rFonts w:hint="eastAsia" w:ascii="宋体" w:hAnsi="宋体"/>
          <w:sz w:val="24"/>
          <w:szCs w:val="24"/>
        </w:rPr>
        <w:t>质保期限：</w:t>
      </w:r>
    </w:p>
    <w:p w14:paraId="14D3248C">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val="zh-CN"/>
        </w:rPr>
        <w:t>我们已详细审核全部磋商文件及其有效补充文件，我们放弃对磋商文件任何误解的权利，提交响应文件后，不对磋商文件本身提出质疑。否则，属于不诚信和故意扰乱采购活动行为，我们将无条件接受处罚。</w:t>
      </w:r>
    </w:p>
    <w:p w14:paraId="032DDB84">
      <w:pPr>
        <w:spacing w:line="360" w:lineRule="auto"/>
        <w:ind w:firstLine="480" w:firstLineChars="200"/>
        <w:rPr>
          <w:rFonts w:ascii="宋体" w:hAnsi="宋体"/>
          <w:sz w:val="24"/>
          <w:szCs w:val="24"/>
        </w:rPr>
      </w:pPr>
      <w:r>
        <w:rPr>
          <w:rFonts w:hint="eastAsia" w:ascii="宋体" w:hAnsi="宋体"/>
          <w:sz w:val="24"/>
          <w:szCs w:val="24"/>
        </w:rPr>
        <w:t>5、一旦我方成交，我方将根据磋商文件的规定，严格履行合同，保证于承诺的时间内完成本项目规定的货物、服务和工程内容。</w:t>
      </w:r>
    </w:p>
    <w:p w14:paraId="114B0377">
      <w:pPr>
        <w:spacing w:line="360" w:lineRule="auto"/>
        <w:ind w:firstLine="480" w:firstLineChars="200"/>
        <w:rPr>
          <w:rFonts w:ascii="宋体" w:hAnsi="宋体"/>
          <w:sz w:val="24"/>
          <w:szCs w:val="24"/>
        </w:rPr>
      </w:pPr>
      <w:r>
        <w:rPr>
          <w:rFonts w:hint="eastAsia" w:ascii="宋体" w:hAnsi="宋体"/>
          <w:sz w:val="24"/>
          <w:szCs w:val="24"/>
        </w:rPr>
        <w:t>6、我方决不提供虚假材料谋取成交、决不采取不正当手段诋毁、排挤其他供应商、决不与采购人、其它供应商或者采购人恶意串通、决不向采购人、采购人工作人员和磋商小组进行商业贿赂、决不拒绝有关部门监督检查或提供虚假情况，如有违反，无条件接受贵方及相关管理部门的处罚。</w:t>
      </w:r>
    </w:p>
    <w:p w14:paraId="05D09BAB">
      <w:pPr>
        <w:spacing w:line="360" w:lineRule="auto"/>
        <w:ind w:firstLine="480" w:firstLineChars="200"/>
        <w:rPr>
          <w:rFonts w:ascii="宋体" w:hAnsi="宋体"/>
          <w:sz w:val="24"/>
          <w:szCs w:val="24"/>
        </w:rPr>
      </w:pPr>
      <w:r>
        <w:rPr>
          <w:rFonts w:hint="eastAsia" w:ascii="宋体" w:hAnsi="宋体"/>
          <w:sz w:val="24"/>
          <w:szCs w:val="24"/>
        </w:rPr>
        <w:t>7、我方正式通讯方式为：</w:t>
      </w:r>
    </w:p>
    <w:p w14:paraId="2EF0926A">
      <w:pPr>
        <w:spacing w:line="360" w:lineRule="auto"/>
        <w:ind w:firstLine="480" w:firstLineChars="200"/>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                       </w:t>
      </w:r>
    </w:p>
    <w:p w14:paraId="5E2DB530">
      <w:pPr>
        <w:spacing w:line="360" w:lineRule="auto"/>
        <w:ind w:firstLine="480" w:firstLineChars="2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1A8CD39F">
      <w:pPr>
        <w:spacing w:line="360" w:lineRule="auto"/>
        <w:ind w:firstLine="480" w:firstLineChars="200"/>
        <w:rPr>
          <w:rFonts w:ascii="宋体" w:hAnsi="宋体"/>
          <w:sz w:val="24"/>
          <w:szCs w:val="24"/>
          <w:u w:val="single"/>
        </w:rPr>
      </w:pPr>
      <w:r>
        <w:rPr>
          <w:rFonts w:hint="eastAsia" w:ascii="宋体" w:hAnsi="宋体"/>
          <w:sz w:val="24"/>
          <w:szCs w:val="24"/>
        </w:rPr>
        <w:t>传   真：</w:t>
      </w:r>
      <w:r>
        <w:rPr>
          <w:rFonts w:hint="eastAsia" w:ascii="宋体" w:hAnsi="宋体"/>
          <w:sz w:val="24"/>
          <w:szCs w:val="24"/>
          <w:u w:val="single"/>
        </w:rPr>
        <w:t xml:space="preserve">                       </w:t>
      </w:r>
    </w:p>
    <w:p w14:paraId="279F44CB">
      <w:pPr>
        <w:spacing w:line="360" w:lineRule="auto"/>
        <w:ind w:firstLine="480" w:firstLineChars="200"/>
        <w:rPr>
          <w:rFonts w:ascii="宋体" w:hAnsi="宋体"/>
          <w:sz w:val="24"/>
          <w:szCs w:val="24"/>
        </w:rPr>
      </w:pPr>
      <w:r>
        <w:rPr>
          <w:rFonts w:hint="eastAsia" w:ascii="宋体" w:hAnsi="宋体"/>
          <w:sz w:val="24"/>
          <w:szCs w:val="24"/>
        </w:rPr>
        <w:t>8、我方正式开户银行和账号为：</w:t>
      </w:r>
    </w:p>
    <w:p w14:paraId="241EE4E8">
      <w:pPr>
        <w:spacing w:line="360" w:lineRule="auto"/>
        <w:ind w:firstLine="480" w:firstLineChars="200"/>
        <w:rPr>
          <w:rFonts w:ascii="宋体" w:hAnsi="宋体"/>
          <w:sz w:val="24"/>
          <w:szCs w:val="24"/>
          <w:u w:val="single"/>
        </w:rPr>
      </w:pPr>
      <w:r>
        <w:rPr>
          <w:rFonts w:hint="eastAsia" w:ascii="宋体" w:hAnsi="宋体"/>
          <w:sz w:val="24"/>
          <w:szCs w:val="24"/>
        </w:rPr>
        <w:t>开户银行：</w:t>
      </w:r>
      <w:r>
        <w:rPr>
          <w:rFonts w:hint="eastAsia" w:ascii="宋体" w:hAnsi="宋体"/>
          <w:sz w:val="24"/>
          <w:szCs w:val="24"/>
          <w:u w:val="single"/>
        </w:rPr>
        <w:t xml:space="preserve">                       </w:t>
      </w:r>
    </w:p>
    <w:p w14:paraId="504064DB">
      <w:pPr>
        <w:spacing w:line="360" w:lineRule="auto"/>
        <w:ind w:firstLine="480" w:firstLineChars="200"/>
        <w:rPr>
          <w:rFonts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516A17D3">
      <w:pPr>
        <w:spacing w:line="360" w:lineRule="auto"/>
        <w:ind w:firstLine="480" w:firstLineChars="200"/>
        <w:rPr>
          <w:rFonts w:ascii="宋体" w:hAnsi="宋体"/>
          <w:sz w:val="24"/>
          <w:szCs w:val="24"/>
          <w:u w:val="single"/>
        </w:rPr>
      </w:pPr>
      <w:r>
        <w:rPr>
          <w:rFonts w:hint="eastAsia" w:ascii="宋体" w:hAnsi="宋体"/>
          <w:sz w:val="24"/>
          <w:szCs w:val="24"/>
        </w:rPr>
        <w:t>供应商授权代表姓名（签字）：</w:t>
      </w:r>
      <w:r>
        <w:rPr>
          <w:rFonts w:hint="eastAsia" w:ascii="宋体" w:hAnsi="宋体"/>
          <w:sz w:val="24"/>
          <w:szCs w:val="24"/>
          <w:u w:val="single"/>
        </w:rPr>
        <w:t xml:space="preserve">         </w:t>
      </w:r>
    </w:p>
    <w:p w14:paraId="6E20D390">
      <w:pPr>
        <w:spacing w:line="360" w:lineRule="auto"/>
        <w:ind w:firstLine="480" w:firstLineChars="200"/>
        <w:rPr>
          <w:rFonts w:ascii="宋体" w:hAnsi="宋体"/>
          <w:sz w:val="24"/>
          <w:szCs w:val="24"/>
        </w:rPr>
      </w:pPr>
      <w:r>
        <w:rPr>
          <w:rFonts w:hint="eastAsia" w:ascii="宋体" w:hAnsi="宋体"/>
          <w:sz w:val="24"/>
          <w:szCs w:val="24"/>
        </w:rPr>
        <w:t>供应商名称（公章）：</w:t>
      </w:r>
      <w:r>
        <w:rPr>
          <w:rFonts w:hint="eastAsia" w:ascii="宋体" w:hAnsi="宋体"/>
          <w:sz w:val="24"/>
          <w:szCs w:val="24"/>
          <w:u w:val="single"/>
        </w:rPr>
        <w:t xml:space="preserve">                 </w:t>
      </w:r>
    </w:p>
    <w:p w14:paraId="7C613A50">
      <w:pPr>
        <w:spacing w:line="360" w:lineRule="auto"/>
        <w:ind w:firstLine="480" w:firstLineChars="200"/>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39070AC5">
      <w:pPr>
        <w:pageBreakBefore/>
        <w:autoSpaceDE w:val="0"/>
        <w:autoSpaceDN w:val="0"/>
        <w:adjustRightInd w:val="0"/>
        <w:spacing w:line="360" w:lineRule="auto"/>
        <w:ind w:firstLine="420"/>
        <w:rPr>
          <w:rFonts w:ascii="宋体" w:cs="微软雅黑"/>
          <w:b/>
          <w:kern w:val="0"/>
          <w:szCs w:val="21"/>
          <w:lang w:val="zh-CN"/>
        </w:rPr>
      </w:pPr>
      <w:r>
        <w:rPr>
          <w:rFonts w:hint="eastAsia" w:ascii="宋体" w:hAnsi="宋体" w:cs="微软雅黑"/>
          <w:b/>
          <w:bCs/>
          <w:szCs w:val="21"/>
        </w:rPr>
        <w:t>附件二、</w:t>
      </w:r>
      <w:r>
        <w:rPr>
          <w:rFonts w:hint="eastAsia" w:ascii="宋体" w:hAnsi="宋体" w:cs="微软雅黑"/>
          <w:b/>
          <w:kern w:val="0"/>
          <w:szCs w:val="21"/>
        </w:rPr>
        <w:t>法定代表人证明书及</w:t>
      </w:r>
      <w:r>
        <w:rPr>
          <w:rFonts w:hint="eastAsia" w:ascii="宋体" w:hAnsi="宋体" w:cs="微软雅黑"/>
          <w:b/>
          <w:kern w:val="0"/>
          <w:szCs w:val="21"/>
          <w:lang w:val="zh-CN"/>
        </w:rPr>
        <w:t>法定代表人授权书格式</w:t>
      </w:r>
    </w:p>
    <w:p w14:paraId="5E34FD35">
      <w:pPr>
        <w:pStyle w:val="429"/>
        <w:spacing w:line="360" w:lineRule="auto"/>
        <w:rPr>
          <w:lang w:val="zh-CN"/>
        </w:rPr>
      </w:pPr>
    </w:p>
    <w:p w14:paraId="31E2CBB2">
      <w:pPr>
        <w:autoSpaceDE w:val="0"/>
        <w:autoSpaceDN w:val="0"/>
        <w:adjustRightInd w:val="0"/>
        <w:spacing w:line="360" w:lineRule="auto"/>
        <w:jc w:val="center"/>
        <w:outlineLvl w:val="1"/>
        <w:rPr>
          <w:rFonts w:hAnsi="宋体" w:cs="微软雅黑"/>
          <w:szCs w:val="21"/>
        </w:rPr>
      </w:pPr>
      <w:bookmarkStart w:id="125" w:name="_Toc122415904"/>
      <w:bookmarkStart w:id="126" w:name="_Toc117063847"/>
      <w:r>
        <w:rPr>
          <w:rFonts w:hint="eastAsia" w:ascii="宋体" w:hAnsi="宋体" w:cs="微软雅黑"/>
          <w:b/>
          <w:bCs/>
          <w:sz w:val="32"/>
          <w:szCs w:val="32"/>
          <w:lang w:val="zh-CN"/>
        </w:rPr>
        <w:t>法定代表人证明书</w:t>
      </w:r>
      <w:bookmarkEnd w:id="125"/>
      <w:bookmarkEnd w:id="126"/>
    </w:p>
    <w:p w14:paraId="64AD45A7">
      <w:pPr>
        <w:pStyle w:val="36"/>
        <w:adjustRightInd w:val="0"/>
        <w:snapToGrid w:val="0"/>
        <w:spacing w:line="360" w:lineRule="auto"/>
        <w:ind w:firstLine="480" w:firstLineChars="200"/>
        <w:rPr>
          <w:rFonts w:hAnsi="宋体" w:cs="微软雅黑"/>
          <w:sz w:val="24"/>
          <w:szCs w:val="24"/>
          <w:u w:val="single"/>
        </w:rPr>
      </w:pPr>
      <w:r>
        <w:rPr>
          <w:rFonts w:hint="eastAsia" w:hAnsi="宋体" w:cs="微软雅黑"/>
          <w:sz w:val="24"/>
          <w:szCs w:val="24"/>
        </w:rPr>
        <w:t>单位名称：</w:t>
      </w:r>
    </w:p>
    <w:p w14:paraId="6655F746">
      <w:pPr>
        <w:pStyle w:val="36"/>
        <w:adjustRightInd w:val="0"/>
        <w:snapToGrid w:val="0"/>
        <w:spacing w:line="360" w:lineRule="auto"/>
        <w:ind w:firstLine="480" w:firstLineChars="200"/>
        <w:rPr>
          <w:rFonts w:hAnsi="宋体" w:cs="微软雅黑"/>
          <w:sz w:val="24"/>
          <w:szCs w:val="24"/>
          <w:u w:val="single"/>
        </w:rPr>
      </w:pPr>
      <w:r>
        <w:rPr>
          <w:rFonts w:hint="eastAsia" w:hAnsi="宋体" w:cs="微软雅黑"/>
          <w:sz w:val="24"/>
          <w:szCs w:val="24"/>
        </w:rPr>
        <w:t>单位性质：</w:t>
      </w:r>
    </w:p>
    <w:p w14:paraId="0AFC2FF2">
      <w:pPr>
        <w:pStyle w:val="36"/>
        <w:adjustRightInd w:val="0"/>
        <w:snapToGrid w:val="0"/>
        <w:spacing w:line="360" w:lineRule="auto"/>
        <w:ind w:firstLine="480" w:firstLineChars="200"/>
        <w:rPr>
          <w:rFonts w:hAnsi="宋体" w:cs="微软雅黑"/>
          <w:sz w:val="24"/>
          <w:szCs w:val="24"/>
          <w:u w:val="single"/>
        </w:rPr>
      </w:pPr>
      <w:r>
        <w:rPr>
          <w:rFonts w:hint="eastAsia" w:hAnsi="宋体" w:cs="微软雅黑"/>
          <w:sz w:val="24"/>
          <w:szCs w:val="24"/>
        </w:rPr>
        <w:t>地址：</w:t>
      </w:r>
    </w:p>
    <w:p w14:paraId="07C7FF87">
      <w:pPr>
        <w:pStyle w:val="36"/>
        <w:adjustRightInd w:val="0"/>
        <w:snapToGrid w:val="0"/>
        <w:spacing w:line="360" w:lineRule="auto"/>
        <w:ind w:firstLine="480" w:firstLineChars="200"/>
        <w:rPr>
          <w:rFonts w:hAnsi="宋体" w:cs="微软雅黑"/>
          <w:sz w:val="24"/>
          <w:szCs w:val="24"/>
          <w:u w:val="single"/>
        </w:rPr>
      </w:pPr>
      <w:r>
        <w:rPr>
          <w:rFonts w:hint="eastAsia" w:hAnsi="宋体" w:cs="微软雅黑"/>
          <w:sz w:val="24"/>
          <w:szCs w:val="24"/>
        </w:rPr>
        <w:t>成立时间：</w:t>
      </w:r>
    </w:p>
    <w:p w14:paraId="1EA2A2C1">
      <w:pPr>
        <w:pStyle w:val="36"/>
        <w:adjustRightInd w:val="0"/>
        <w:snapToGrid w:val="0"/>
        <w:spacing w:line="360" w:lineRule="auto"/>
        <w:ind w:firstLine="480" w:firstLineChars="200"/>
        <w:rPr>
          <w:rFonts w:hAnsi="宋体" w:cs="微软雅黑"/>
          <w:sz w:val="24"/>
          <w:szCs w:val="24"/>
          <w:u w:val="single"/>
        </w:rPr>
      </w:pPr>
      <w:r>
        <w:rPr>
          <w:rFonts w:hint="eastAsia" w:hAnsi="宋体" w:cs="微软雅黑"/>
          <w:sz w:val="24"/>
          <w:szCs w:val="24"/>
        </w:rPr>
        <w:t>经营期限：</w:t>
      </w:r>
    </w:p>
    <w:p w14:paraId="604A8F3E">
      <w:pPr>
        <w:pStyle w:val="36"/>
        <w:adjustRightInd w:val="0"/>
        <w:snapToGrid w:val="0"/>
        <w:spacing w:line="360" w:lineRule="auto"/>
        <w:ind w:firstLine="480" w:firstLineChars="200"/>
        <w:rPr>
          <w:rFonts w:hAnsi="宋体" w:cs="微软雅黑"/>
          <w:sz w:val="24"/>
          <w:szCs w:val="24"/>
          <w:u w:val="single"/>
        </w:rPr>
      </w:pPr>
      <w:r>
        <w:rPr>
          <w:rFonts w:hint="eastAsia" w:hAnsi="宋体" w:cs="微软雅黑"/>
          <w:sz w:val="24"/>
          <w:szCs w:val="24"/>
        </w:rPr>
        <w:t>姓名：性别：年龄：职务：</w:t>
      </w:r>
    </w:p>
    <w:p w14:paraId="27662227">
      <w:pPr>
        <w:pStyle w:val="36"/>
        <w:adjustRightInd w:val="0"/>
        <w:snapToGrid w:val="0"/>
        <w:spacing w:line="360" w:lineRule="auto"/>
        <w:ind w:firstLine="480" w:firstLineChars="200"/>
        <w:rPr>
          <w:rFonts w:hAnsi="宋体" w:cs="微软雅黑"/>
          <w:sz w:val="24"/>
          <w:szCs w:val="24"/>
        </w:rPr>
      </w:pPr>
      <w:r>
        <w:rPr>
          <w:rFonts w:hint="eastAsia" w:hAnsi="宋体" w:cs="微软雅黑"/>
          <w:sz w:val="24"/>
          <w:szCs w:val="24"/>
        </w:rPr>
        <w:t>系的法定代表人。</w:t>
      </w:r>
    </w:p>
    <w:p w14:paraId="143909D6">
      <w:pPr>
        <w:pStyle w:val="36"/>
        <w:adjustRightInd w:val="0"/>
        <w:snapToGrid w:val="0"/>
        <w:spacing w:line="360" w:lineRule="auto"/>
        <w:ind w:firstLine="480" w:firstLineChars="200"/>
        <w:rPr>
          <w:rFonts w:hAnsi="宋体" w:cs="微软雅黑"/>
          <w:sz w:val="24"/>
          <w:szCs w:val="24"/>
        </w:rPr>
      </w:pPr>
      <w:r>
        <w:rPr>
          <w:rFonts w:hint="eastAsia" w:hAnsi="宋体" w:cs="微软雅黑"/>
          <w:sz w:val="24"/>
          <w:szCs w:val="24"/>
        </w:rPr>
        <w:t>特此证明！</w:t>
      </w:r>
    </w:p>
    <w:p w14:paraId="6B3B1E26">
      <w:pPr>
        <w:pStyle w:val="36"/>
        <w:adjustRightInd w:val="0"/>
        <w:snapToGrid w:val="0"/>
        <w:spacing w:line="360" w:lineRule="auto"/>
        <w:ind w:right="420" w:firstLine="480" w:firstLineChars="200"/>
        <w:jc w:val="right"/>
        <w:rPr>
          <w:rFonts w:hAnsi="宋体" w:cs="微软雅黑"/>
          <w:sz w:val="24"/>
          <w:szCs w:val="24"/>
        </w:rPr>
      </w:pPr>
    </w:p>
    <w:p w14:paraId="5600759D">
      <w:pPr>
        <w:pStyle w:val="36"/>
        <w:adjustRightInd w:val="0"/>
        <w:snapToGrid w:val="0"/>
        <w:spacing w:line="360" w:lineRule="auto"/>
        <w:ind w:right="420"/>
        <w:jc w:val="right"/>
        <w:rPr>
          <w:rFonts w:hAnsi="宋体" w:cs="微软雅黑"/>
          <w:sz w:val="24"/>
          <w:szCs w:val="24"/>
        </w:rPr>
      </w:pPr>
      <w:r>
        <w:rPr>
          <w:rFonts w:hint="eastAsia" w:hAnsi="宋体" w:cs="微软雅黑"/>
          <w:sz w:val="24"/>
          <w:szCs w:val="24"/>
        </w:rPr>
        <w:t>供应商名称：（盖章）</w:t>
      </w:r>
    </w:p>
    <w:p w14:paraId="6AACF1C2">
      <w:pPr>
        <w:pStyle w:val="36"/>
        <w:adjustRightInd w:val="0"/>
        <w:snapToGrid w:val="0"/>
        <w:spacing w:line="360" w:lineRule="auto"/>
        <w:ind w:firstLine="480" w:firstLineChars="200"/>
        <w:jc w:val="right"/>
        <w:rPr>
          <w:rFonts w:hAnsi="宋体" w:cs="微软雅黑"/>
          <w:sz w:val="24"/>
          <w:szCs w:val="24"/>
        </w:rPr>
      </w:pPr>
    </w:p>
    <w:p w14:paraId="07C384A2">
      <w:pPr>
        <w:pStyle w:val="36"/>
        <w:adjustRightInd w:val="0"/>
        <w:snapToGrid w:val="0"/>
        <w:spacing w:line="360" w:lineRule="auto"/>
        <w:ind w:firstLine="480" w:firstLineChars="200"/>
        <w:jc w:val="right"/>
        <w:rPr>
          <w:rFonts w:hAnsi="宋体" w:cs="微软雅黑"/>
          <w:sz w:val="24"/>
          <w:szCs w:val="24"/>
        </w:rPr>
      </w:pPr>
      <w:r>
        <w:rPr>
          <w:rFonts w:hint="eastAsia" w:hAnsi="宋体" w:cs="微软雅黑"/>
          <w:sz w:val="24"/>
          <w:szCs w:val="24"/>
        </w:rPr>
        <w:t>日期：年</w:t>
      </w:r>
      <w:r>
        <w:rPr>
          <w:rFonts w:hAnsi="宋体" w:cs="微软雅黑"/>
          <w:sz w:val="24"/>
          <w:szCs w:val="24"/>
        </w:rPr>
        <w:t xml:space="preserve"> </w:t>
      </w:r>
      <w:r>
        <w:rPr>
          <w:rFonts w:hint="eastAsia" w:hAnsi="宋体" w:cs="微软雅黑"/>
          <w:sz w:val="24"/>
          <w:szCs w:val="24"/>
        </w:rPr>
        <w:t>月</w:t>
      </w:r>
      <w:r>
        <w:rPr>
          <w:rFonts w:hAnsi="宋体" w:cs="微软雅黑"/>
          <w:sz w:val="24"/>
          <w:szCs w:val="24"/>
        </w:rPr>
        <w:t xml:space="preserve">  </w:t>
      </w:r>
      <w:r>
        <w:rPr>
          <w:rFonts w:hint="eastAsia" w:hAnsi="宋体" w:cs="微软雅黑"/>
          <w:sz w:val="24"/>
          <w:szCs w:val="24"/>
        </w:rPr>
        <w:t>日</w:t>
      </w:r>
    </w:p>
    <w:p w14:paraId="72C3F691">
      <w:pPr>
        <w:pStyle w:val="429"/>
        <w:spacing w:line="360" w:lineRule="auto"/>
        <w:rPr>
          <w:lang w:val="zh-CN"/>
        </w:rPr>
      </w:pPr>
    </w:p>
    <w:p w14:paraId="62D70FF6">
      <w:pPr>
        <w:pStyle w:val="429"/>
        <w:spacing w:line="360" w:lineRule="auto"/>
        <w:rPr>
          <w:lang w:val="zh-CN"/>
        </w:rPr>
      </w:pPr>
    </w:p>
    <w:p w14:paraId="6F8C30CC">
      <w:pPr>
        <w:pStyle w:val="429"/>
        <w:spacing w:line="360" w:lineRule="auto"/>
        <w:rPr>
          <w:rFonts w:ascii="宋体" w:cs="微软雅黑"/>
          <w:kern w:val="2"/>
          <w:sz w:val="24"/>
          <w:szCs w:val="24"/>
        </w:rPr>
      </w:pPr>
      <w:r>
        <w:rPr>
          <w:rFonts w:hint="eastAsia" w:ascii="宋体" w:hAnsi="宋体" w:cs="微软雅黑"/>
          <w:kern w:val="2"/>
          <w:sz w:val="24"/>
          <w:szCs w:val="24"/>
        </w:rPr>
        <w:t>附法定代表人身份证复印件：</w:t>
      </w:r>
    </w:p>
    <w:p w14:paraId="7038F98B">
      <w:pPr>
        <w:pStyle w:val="429"/>
        <w:spacing w:line="360" w:lineRule="auto"/>
        <w:rPr>
          <w:lang w:val="zh-CN"/>
        </w:rPr>
      </w:pPr>
    </w:p>
    <w:p w14:paraId="54CA3804">
      <w:pPr>
        <w:pStyle w:val="429"/>
        <w:spacing w:line="360" w:lineRule="auto"/>
        <w:rPr>
          <w:lang w:val="zh-CN"/>
        </w:rPr>
      </w:pPr>
    </w:p>
    <w:p w14:paraId="6CD3C84B">
      <w:pPr>
        <w:pStyle w:val="429"/>
        <w:spacing w:line="360" w:lineRule="auto"/>
        <w:rPr>
          <w:lang w:val="zh-CN"/>
        </w:rPr>
      </w:pPr>
    </w:p>
    <w:p w14:paraId="13B7D318">
      <w:pPr>
        <w:pStyle w:val="429"/>
        <w:spacing w:line="360" w:lineRule="auto"/>
        <w:rPr>
          <w:lang w:val="zh-CN"/>
        </w:rPr>
      </w:pPr>
    </w:p>
    <w:p w14:paraId="0E29FE4A">
      <w:pPr>
        <w:pStyle w:val="429"/>
        <w:spacing w:line="360" w:lineRule="auto"/>
        <w:rPr>
          <w:lang w:val="zh-CN"/>
        </w:rPr>
      </w:pPr>
    </w:p>
    <w:p w14:paraId="7C0D03B1">
      <w:pPr>
        <w:pStyle w:val="429"/>
        <w:spacing w:line="360" w:lineRule="auto"/>
        <w:rPr>
          <w:lang w:val="zh-CN"/>
        </w:rPr>
      </w:pPr>
    </w:p>
    <w:p w14:paraId="1A53A0F4">
      <w:pPr>
        <w:pStyle w:val="429"/>
        <w:spacing w:line="360" w:lineRule="auto"/>
        <w:rPr>
          <w:lang w:val="zh-CN"/>
        </w:rPr>
      </w:pPr>
    </w:p>
    <w:p w14:paraId="155269AA">
      <w:pPr>
        <w:pStyle w:val="429"/>
        <w:spacing w:line="360" w:lineRule="auto"/>
        <w:rPr>
          <w:lang w:val="zh-CN"/>
        </w:rPr>
      </w:pPr>
    </w:p>
    <w:p w14:paraId="15AC5B01">
      <w:pPr>
        <w:pStyle w:val="429"/>
        <w:spacing w:line="360" w:lineRule="auto"/>
        <w:rPr>
          <w:lang w:val="zh-CN"/>
        </w:rPr>
      </w:pPr>
    </w:p>
    <w:p w14:paraId="102BEA57">
      <w:pPr>
        <w:pStyle w:val="429"/>
        <w:spacing w:line="360" w:lineRule="auto"/>
        <w:rPr>
          <w:lang w:val="zh-CN"/>
        </w:rPr>
      </w:pPr>
    </w:p>
    <w:p w14:paraId="7FC9CF30">
      <w:pPr>
        <w:pStyle w:val="429"/>
        <w:spacing w:line="360" w:lineRule="auto"/>
        <w:rPr>
          <w:lang w:val="zh-CN"/>
        </w:rPr>
      </w:pPr>
    </w:p>
    <w:p w14:paraId="7C1E5E7E">
      <w:pPr>
        <w:pageBreakBefore/>
        <w:autoSpaceDE w:val="0"/>
        <w:autoSpaceDN w:val="0"/>
        <w:adjustRightInd w:val="0"/>
        <w:spacing w:line="360" w:lineRule="auto"/>
        <w:jc w:val="center"/>
        <w:outlineLvl w:val="1"/>
        <w:rPr>
          <w:rFonts w:ascii="宋体" w:cs="微软雅黑"/>
          <w:kern w:val="0"/>
          <w:sz w:val="36"/>
          <w:szCs w:val="36"/>
          <w:lang w:val="zh-CN"/>
        </w:rPr>
      </w:pPr>
      <w:bookmarkStart w:id="127" w:name="_Toc122415905"/>
      <w:bookmarkStart w:id="128" w:name="_Toc117063848"/>
      <w:r>
        <w:rPr>
          <w:rFonts w:hint="eastAsia" w:ascii="宋体" w:hAnsi="宋体" w:cs="微软雅黑"/>
          <w:b/>
          <w:bCs/>
          <w:kern w:val="0"/>
          <w:sz w:val="32"/>
          <w:szCs w:val="32"/>
          <w:lang w:val="zh-CN"/>
        </w:rPr>
        <w:t>法定代表人</w:t>
      </w:r>
      <w:r>
        <w:rPr>
          <w:rFonts w:hint="eastAsia" w:ascii="宋体" w:hAnsi="宋体" w:cs="微软雅黑"/>
          <w:b/>
          <w:bCs/>
          <w:sz w:val="32"/>
          <w:szCs w:val="32"/>
          <w:lang w:val="zh-CN"/>
        </w:rPr>
        <w:t>授权</w:t>
      </w:r>
      <w:r>
        <w:rPr>
          <w:rFonts w:hint="eastAsia" w:ascii="宋体" w:hAnsi="宋体" w:cs="微软雅黑"/>
          <w:b/>
          <w:bCs/>
          <w:kern w:val="0"/>
          <w:sz w:val="32"/>
          <w:szCs w:val="32"/>
          <w:lang w:val="zh-CN"/>
        </w:rPr>
        <w:t>委托书</w:t>
      </w:r>
      <w:bookmarkEnd w:id="127"/>
      <w:bookmarkEnd w:id="128"/>
    </w:p>
    <w:p w14:paraId="341C03EE">
      <w:pPr>
        <w:widowControl/>
        <w:adjustRightInd w:val="0"/>
        <w:spacing w:line="360" w:lineRule="auto"/>
        <w:ind w:firstLine="420"/>
        <w:jc w:val="left"/>
        <w:rPr>
          <w:rFonts w:ascii="宋体" w:cs="微软雅黑"/>
          <w:kern w:val="0"/>
          <w:szCs w:val="21"/>
          <w:lang w:val="zh-CN"/>
        </w:rPr>
      </w:pPr>
    </w:p>
    <w:p w14:paraId="31CF9A8D">
      <w:pPr>
        <w:adjustRightInd w:val="0"/>
        <w:spacing w:line="360" w:lineRule="auto"/>
        <w:rPr>
          <w:rFonts w:ascii="宋体" w:cs="宋体"/>
          <w:sz w:val="24"/>
          <w:szCs w:val="24"/>
          <w:lang w:val="zh-CN"/>
        </w:rPr>
      </w:pPr>
      <w:r>
        <w:rPr>
          <w:rFonts w:hint="eastAsia" w:ascii="宋体" w:hAnsi="宋体" w:cs="宋体"/>
          <w:sz w:val="24"/>
          <w:szCs w:val="24"/>
          <w:lang w:val="zh-CN"/>
        </w:rPr>
        <w:t>南京审计大学金审学院：</w:t>
      </w:r>
    </w:p>
    <w:p w14:paraId="0468EBF1">
      <w:pPr>
        <w:adjustRightInd w:val="0"/>
        <w:spacing w:line="360" w:lineRule="auto"/>
        <w:ind w:left="1110" w:leftChars="300" w:hanging="480" w:hangingChars="200"/>
        <w:rPr>
          <w:rFonts w:ascii="宋体" w:hAnsi="宋体" w:cs="宋体"/>
          <w:sz w:val="24"/>
          <w:szCs w:val="24"/>
          <w:lang w:val="zh-CN"/>
        </w:rPr>
      </w:pPr>
      <w:r>
        <w:rPr>
          <w:rFonts w:hint="eastAsia" w:ascii="宋体" w:hAnsi="宋体" w:cs="宋体"/>
          <w:sz w:val="24"/>
          <w:szCs w:val="24"/>
          <w:lang w:val="zh-CN"/>
        </w:rPr>
        <w:t>本授权委托书声明：注册于（供应商住址）的（供应商名称）法定代表人（法定代表人</w:t>
      </w:r>
    </w:p>
    <w:p w14:paraId="4830326D">
      <w:pPr>
        <w:adjustRightInd w:val="0"/>
        <w:spacing w:line="360" w:lineRule="auto"/>
        <w:rPr>
          <w:rFonts w:ascii="宋体" w:cs="宋体"/>
          <w:sz w:val="24"/>
          <w:szCs w:val="24"/>
          <w:lang w:val="zh-CN"/>
        </w:rPr>
      </w:pPr>
      <w:r>
        <w:rPr>
          <w:rFonts w:hint="eastAsia" w:ascii="宋体" w:hAnsi="宋体" w:cs="宋体"/>
          <w:sz w:val="24"/>
          <w:szCs w:val="24"/>
          <w:lang w:val="zh-CN"/>
        </w:rPr>
        <w:t>姓名、职务）代表本公司授权在下面签字的（供应商代表姓名、职务）为本公司的合法代理人，就贵方组织的（项目名称），（项目编号）竞争性磋商，以本公司名义处理一切与之有关的事务。</w:t>
      </w:r>
    </w:p>
    <w:p w14:paraId="7C0B4A13">
      <w:pPr>
        <w:adjustRightInd w:val="0"/>
        <w:spacing w:line="360" w:lineRule="auto"/>
        <w:ind w:firstLine="408"/>
        <w:rPr>
          <w:rFonts w:ascii="宋体" w:cs="宋体"/>
          <w:sz w:val="24"/>
          <w:szCs w:val="24"/>
          <w:lang w:val="zh-CN"/>
        </w:rPr>
      </w:pPr>
      <w:r>
        <w:rPr>
          <w:rFonts w:hint="eastAsia" w:ascii="宋体" w:hAnsi="宋体" w:cs="宋体"/>
          <w:sz w:val="24"/>
          <w:szCs w:val="24"/>
          <w:lang w:val="zh-CN"/>
        </w:rPr>
        <w:t>本授权委托书于年月日签字生效，特此声明。</w:t>
      </w:r>
    </w:p>
    <w:p w14:paraId="5825A9DF">
      <w:pPr>
        <w:adjustRightInd w:val="0"/>
        <w:spacing w:line="360" w:lineRule="auto"/>
        <w:ind w:firstLine="408"/>
        <w:rPr>
          <w:rFonts w:ascii="宋体" w:cs="宋体"/>
          <w:sz w:val="24"/>
          <w:szCs w:val="24"/>
          <w:lang w:val="zh-CN"/>
        </w:rPr>
      </w:pPr>
    </w:p>
    <w:p w14:paraId="37F2AA4D">
      <w:pPr>
        <w:adjustRightInd w:val="0"/>
        <w:spacing w:line="360" w:lineRule="auto"/>
        <w:ind w:firstLine="480" w:firstLineChars="200"/>
        <w:rPr>
          <w:rFonts w:ascii="宋体" w:cs="宋体"/>
          <w:sz w:val="24"/>
          <w:szCs w:val="24"/>
          <w:lang w:val="zh-CN"/>
        </w:rPr>
      </w:pPr>
      <w:r>
        <w:rPr>
          <w:rFonts w:hint="eastAsia" w:ascii="宋体" w:hAnsi="宋体" w:cs="宋体"/>
          <w:sz w:val="24"/>
          <w:szCs w:val="24"/>
          <w:lang w:val="zh-CN"/>
        </w:rPr>
        <w:t>法定代表人签字：</w:t>
      </w:r>
    </w:p>
    <w:p w14:paraId="737C2117">
      <w:pPr>
        <w:adjustRightInd w:val="0"/>
        <w:spacing w:line="360" w:lineRule="auto"/>
        <w:rPr>
          <w:rFonts w:ascii="宋体" w:cs="宋体"/>
          <w:sz w:val="24"/>
          <w:szCs w:val="24"/>
          <w:lang w:val="zh-CN"/>
        </w:rPr>
      </w:pPr>
      <w:r>
        <w:rPr>
          <w:rFonts w:ascii="宋体" w:hAnsi="宋体" w:cs="宋体"/>
          <w:sz w:val="24"/>
          <w:szCs w:val="24"/>
          <w:lang w:val="zh-CN"/>
        </w:rPr>
        <w:t xml:space="preserve">    </w:t>
      </w:r>
      <w:r>
        <w:rPr>
          <w:rFonts w:hint="eastAsia" w:ascii="宋体" w:hAnsi="宋体" w:cs="宋体"/>
          <w:sz w:val="24"/>
          <w:szCs w:val="24"/>
          <w:lang w:val="zh-CN"/>
        </w:rPr>
        <w:t>授权委托人签字：</w:t>
      </w:r>
      <w:r>
        <w:rPr>
          <w:rFonts w:ascii="宋体" w:hAnsi="宋体" w:cs="宋体"/>
          <w:sz w:val="24"/>
          <w:szCs w:val="24"/>
          <w:lang w:val="zh-CN"/>
        </w:rPr>
        <w:t xml:space="preserve"> </w:t>
      </w:r>
    </w:p>
    <w:p w14:paraId="7C0E5661">
      <w:pPr>
        <w:pStyle w:val="36"/>
        <w:adjustRightInd w:val="0"/>
        <w:snapToGrid w:val="0"/>
        <w:spacing w:line="360" w:lineRule="auto"/>
        <w:ind w:right="420" w:firstLine="480" w:firstLineChars="200"/>
        <w:jc w:val="left"/>
        <w:rPr>
          <w:rFonts w:hAnsi="宋体" w:cs="微软雅黑"/>
          <w:sz w:val="24"/>
          <w:szCs w:val="24"/>
        </w:rPr>
      </w:pPr>
      <w:r>
        <w:rPr>
          <w:rFonts w:hint="eastAsia" w:hAnsi="宋体" w:cs="微软雅黑"/>
          <w:sz w:val="24"/>
          <w:szCs w:val="24"/>
        </w:rPr>
        <w:t>供应商名称：（盖章）</w:t>
      </w:r>
    </w:p>
    <w:p w14:paraId="4D14BE26">
      <w:pPr>
        <w:autoSpaceDE w:val="0"/>
        <w:autoSpaceDN w:val="0"/>
        <w:adjustRightInd w:val="0"/>
        <w:spacing w:line="360" w:lineRule="auto"/>
        <w:ind w:firstLine="420"/>
        <w:rPr>
          <w:rFonts w:ascii="宋体" w:cs="宋体"/>
          <w:sz w:val="24"/>
          <w:szCs w:val="24"/>
          <w:lang w:val="zh-CN"/>
        </w:rPr>
      </w:pPr>
      <w:r>
        <w:rPr>
          <w:rFonts w:hint="eastAsia" w:ascii="宋体" w:hAnsi="宋体" w:cs="宋体"/>
          <w:sz w:val="24"/>
          <w:szCs w:val="24"/>
          <w:lang w:val="zh-CN"/>
        </w:rPr>
        <w:t>日</w:t>
      </w:r>
      <w:r>
        <w:rPr>
          <w:rFonts w:ascii="宋体" w:hAnsi="宋体" w:cs="宋体"/>
          <w:sz w:val="24"/>
          <w:szCs w:val="24"/>
          <w:lang w:val="zh-CN"/>
        </w:rPr>
        <w:t xml:space="preserve">          </w:t>
      </w:r>
      <w:r>
        <w:rPr>
          <w:rFonts w:hint="eastAsia" w:ascii="宋体" w:hAnsi="宋体" w:cs="宋体"/>
          <w:sz w:val="24"/>
          <w:szCs w:val="24"/>
          <w:lang w:val="zh-CN"/>
        </w:rPr>
        <w:t>期：年月日</w:t>
      </w:r>
    </w:p>
    <w:p w14:paraId="2FCF9BD6">
      <w:pPr>
        <w:widowControl/>
        <w:adjustRightInd w:val="0"/>
        <w:spacing w:line="360" w:lineRule="auto"/>
        <w:jc w:val="left"/>
        <w:rPr>
          <w:rFonts w:ascii="宋体" w:cs="微软雅黑"/>
          <w:b/>
          <w:kern w:val="0"/>
          <w:szCs w:val="21"/>
          <w:lang w:val="zh-CN"/>
        </w:rPr>
      </w:pPr>
    </w:p>
    <w:p w14:paraId="4A9A2706">
      <w:pPr>
        <w:widowControl/>
        <w:adjustRightInd w:val="0"/>
        <w:spacing w:line="360" w:lineRule="auto"/>
        <w:jc w:val="left"/>
        <w:rPr>
          <w:rFonts w:ascii="宋体" w:cs="微软雅黑"/>
          <w:b/>
          <w:kern w:val="0"/>
          <w:szCs w:val="21"/>
          <w:lang w:val="zh-CN"/>
        </w:rPr>
      </w:pPr>
    </w:p>
    <w:p w14:paraId="16D7F98F">
      <w:pPr>
        <w:widowControl/>
        <w:adjustRightInd w:val="0"/>
        <w:spacing w:line="360" w:lineRule="auto"/>
        <w:jc w:val="left"/>
        <w:rPr>
          <w:rFonts w:ascii="宋体" w:cs="微软雅黑"/>
          <w:b/>
          <w:kern w:val="0"/>
          <w:szCs w:val="21"/>
          <w:lang w:val="zh-CN"/>
        </w:rPr>
      </w:pPr>
    </w:p>
    <w:p w14:paraId="768D9765">
      <w:pPr>
        <w:pStyle w:val="429"/>
        <w:spacing w:line="360" w:lineRule="auto"/>
        <w:rPr>
          <w:rFonts w:ascii="宋体" w:cs="微软雅黑"/>
          <w:kern w:val="2"/>
          <w:sz w:val="24"/>
          <w:szCs w:val="24"/>
        </w:rPr>
      </w:pPr>
      <w:r>
        <w:rPr>
          <w:rFonts w:hint="eastAsia" w:ascii="宋体" w:hAnsi="宋体" w:cs="微软雅黑"/>
          <w:kern w:val="2"/>
          <w:sz w:val="24"/>
          <w:szCs w:val="24"/>
        </w:rPr>
        <w:t>附被授权人身份证复印件：</w:t>
      </w:r>
    </w:p>
    <w:p w14:paraId="30F60397">
      <w:pPr>
        <w:pageBreakBefore/>
        <w:autoSpaceDE w:val="0"/>
        <w:autoSpaceDN w:val="0"/>
        <w:adjustRightInd w:val="0"/>
        <w:spacing w:line="360" w:lineRule="auto"/>
        <w:jc w:val="center"/>
        <w:outlineLvl w:val="1"/>
        <w:rPr>
          <w:rFonts w:ascii="宋体" w:hAnsi="宋体" w:cs="微软雅黑"/>
          <w:b/>
          <w:bCs/>
          <w:sz w:val="32"/>
          <w:szCs w:val="32"/>
          <w:lang w:val="zh-CN"/>
        </w:rPr>
      </w:pPr>
      <w:r>
        <w:rPr>
          <w:rFonts w:hint="eastAsia" w:ascii="宋体" w:hAnsi="宋体" w:cs="微软雅黑"/>
          <w:b/>
          <w:bCs/>
          <w:sz w:val="32"/>
          <w:szCs w:val="32"/>
          <w:lang w:val="zh-CN"/>
        </w:rPr>
        <w:t>附件三、报价表（首次报价）</w:t>
      </w:r>
    </w:p>
    <w:tbl>
      <w:tblPr>
        <w:tblStyle w:val="64"/>
        <w:tblW w:w="9427" w:type="dxa"/>
        <w:jc w:val="center"/>
        <w:tblLayout w:type="fixed"/>
        <w:tblCellMar>
          <w:top w:w="0" w:type="dxa"/>
          <w:left w:w="108" w:type="dxa"/>
          <w:bottom w:w="0" w:type="dxa"/>
          <w:right w:w="108" w:type="dxa"/>
        </w:tblCellMar>
      </w:tblPr>
      <w:tblGrid>
        <w:gridCol w:w="2710"/>
        <w:gridCol w:w="6717"/>
      </w:tblGrid>
      <w:tr w14:paraId="6203525F">
        <w:tblPrEx>
          <w:tblCellMar>
            <w:top w:w="0" w:type="dxa"/>
            <w:left w:w="108" w:type="dxa"/>
            <w:bottom w:w="0" w:type="dxa"/>
            <w:right w:w="108" w:type="dxa"/>
          </w:tblCellMar>
        </w:tblPrEx>
        <w:trPr>
          <w:trHeight w:val="1570" w:hRule="atLeast"/>
          <w:jc w:val="center"/>
        </w:trPr>
        <w:tc>
          <w:tcPr>
            <w:tcW w:w="2710" w:type="dxa"/>
            <w:tcBorders>
              <w:top w:val="single" w:color="000000" w:sz="4" w:space="0"/>
              <w:left w:val="single" w:color="auto" w:sz="4" w:space="0"/>
              <w:bottom w:val="single" w:color="auto" w:sz="4" w:space="0"/>
              <w:right w:val="single" w:color="auto" w:sz="4" w:space="0"/>
            </w:tcBorders>
            <w:vAlign w:val="center"/>
          </w:tcPr>
          <w:p w14:paraId="68F4821B">
            <w:pPr>
              <w:jc w:val="center"/>
              <w:rPr>
                <w:b/>
                <w:sz w:val="24"/>
                <w:szCs w:val="24"/>
              </w:rPr>
            </w:pPr>
            <w:bookmarkStart w:id="129" w:name="_Toc416273859"/>
            <w:bookmarkStart w:id="130" w:name="_Toc152042585"/>
            <w:bookmarkStart w:id="131" w:name="_Toc416273948"/>
            <w:bookmarkStart w:id="132" w:name="_Toc227984083"/>
            <w:bookmarkStart w:id="133" w:name="_Toc482980316"/>
            <w:bookmarkStart w:id="134" w:name="_Toc144974864"/>
            <w:bookmarkStart w:id="135" w:name="_Toc390413383"/>
            <w:bookmarkStart w:id="136" w:name="_Toc451622428"/>
            <w:bookmarkStart w:id="137" w:name="_Toc152045796"/>
            <w:r>
              <w:rPr>
                <w:rFonts w:hint="eastAsia"/>
                <w:b/>
                <w:sz w:val="24"/>
                <w:szCs w:val="24"/>
              </w:rPr>
              <w:t>报价</w:t>
            </w:r>
          </w:p>
        </w:tc>
        <w:tc>
          <w:tcPr>
            <w:tcW w:w="6717" w:type="dxa"/>
            <w:tcBorders>
              <w:top w:val="single" w:color="auto" w:sz="4" w:space="0"/>
              <w:left w:val="nil"/>
              <w:bottom w:val="single" w:color="auto" w:sz="4" w:space="0"/>
              <w:right w:val="single" w:color="auto" w:sz="4" w:space="0"/>
            </w:tcBorders>
            <w:vAlign w:val="center"/>
          </w:tcPr>
          <w:p w14:paraId="0730463D">
            <w:pPr>
              <w:spacing w:line="360"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（大写）元人民币，小写：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元</w:t>
            </w:r>
          </w:p>
        </w:tc>
      </w:tr>
      <w:tr w14:paraId="08AB3242">
        <w:tblPrEx>
          <w:tblCellMar>
            <w:top w:w="0" w:type="dxa"/>
            <w:left w:w="108" w:type="dxa"/>
            <w:bottom w:w="0" w:type="dxa"/>
            <w:right w:w="108" w:type="dxa"/>
          </w:tblCellMar>
        </w:tblPrEx>
        <w:trPr>
          <w:trHeight w:val="527" w:hRule="atLeast"/>
          <w:jc w:val="center"/>
        </w:trPr>
        <w:tc>
          <w:tcPr>
            <w:tcW w:w="2710" w:type="dxa"/>
            <w:tcBorders>
              <w:top w:val="single" w:color="auto" w:sz="4" w:space="0"/>
              <w:left w:val="single" w:color="auto" w:sz="4" w:space="0"/>
              <w:right w:val="single" w:color="auto" w:sz="4" w:space="0"/>
            </w:tcBorders>
            <w:vAlign w:val="center"/>
          </w:tcPr>
          <w:p w14:paraId="347BF9E7">
            <w:pPr>
              <w:jc w:val="center"/>
              <w:rPr>
                <w:b/>
                <w:sz w:val="24"/>
                <w:szCs w:val="24"/>
              </w:rPr>
            </w:pPr>
            <w:r>
              <w:rPr>
                <w:rFonts w:hint="eastAsia"/>
                <w:b/>
                <w:sz w:val="24"/>
                <w:szCs w:val="24"/>
              </w:rPr>
              <w:t>项目负责人</w:t>
            </w:r>
          </w:p>
        </w:tc>
        <w:tc>
          <w:tcPr>
            <w:tcW w:w="6717" w:type="dxa"/>
            <w:tcBorders>
              <w:top w:val="single" w:color="auto" w:sz="4" w:space="0"/>
              <w:left w:val="nil"/>
              <w:bottom w:val="single" w:color="auto" w:sz="4" w:space="0"/>
              <w:right w:val="single" w:color="auto" w:sz="4" w:space="0"/>
            </w:tcBorders>
            <w:vAlign w:val="center"/>
          </w:tcPr>
          <w:p w14:paraId="132EE245">
            <w:pPr>
              <w:spacing w:line="600" w:lineRule="auto"/>
              <w:rPr>
                <w:rFonts w:ascii="宋体" w:cs="宋体"/>
                <w:sz w:val="24"/>
                <w:szCs w:val="24"/>
              </w:rPr>
            </w:pPr>
          </w:p>
        </w:tc>
      </w:tr>
      <w:tr w14:paraId="342FDF6C">
        <w:tblPrEx>
          <w:tblCellMar>
            <w:top w:w="0" w:type="dxa"/>
            <w:left w:w="108" w:type="dxa"/>
            <w:bottom w:w="0" w:type="dxa"/>
            <w:right w:w="108" w:type="dxa"/>
          </w:tblCellMar>
        </w:tblPrEx>
        <w:trPr>
          <w:trHeight w:val="1099" w:hRule="atLeast"/>
          <w:jc w:val="center"/>
        </w:trPr>
        <w:tc>
          <w:tcPr>
            <w:tcW w:w="2710" w:type="dxa"/>
            <w:tcBorders>
              <w:top w:val="single" w:color="auto" w:sz="4" w:space="0"/>
              <w:left w:val="single" w:color="auto" w:sz="4" w:space="0"/>
              <w:bottom w:val="single" w:color="auto" w:sz="4" w:space="0"/>
              <w:right w:val="single" w:color="auto" w:sz="4" w:space="0"/>
            </w:tcBorders>
            <w:vAlign w:val="center"/>
          </w:tcPr>
          <w:p w14:paraId="2AB3C281">
            <w:pPr>
              <w:jc w:val="center"/>
              <w:rPr>
                <w:b/>
                <w:sz w:val="24"/>
                <w:szCs w:val="24"/>
              </w:rPr>
            </w:pPr>
            <w:r>
              <w:rPr>
                <w:rFonts w:hint="eastAsia"/>
                <w:b/>
                <w:sz w:val="24"/>
                <w:szCs w:val="24"/>
              </w:rPr>
              <w:t>合同履行期限</w:t>
            </w:r>
          </w:p>
        </w:tc>
        <w:tc>
          <w:tcPr>
            <w:tcW w:w="6717" w:type="dxa"/>
            <w:tcBorders>
              <w:top w:val="single" w:color="auto" w:sz="4" w:space="0"/>
              <w:left w:val="nil"/>
              <w:bottom w:val="single" w:color="auto" w:sz="4" w:space="0"/>
              <w:right w:val="single" w:color="auto" w:sz="4" w:space="0"/>
            </w:tcBorders>
            <w:vAlign w:val="center"/>
          </w:tcPr>
          <w:p w14:paraId="4D398F00">
            <w:pPr>
              <w:pStyle w:val="36"/>
              <w:spacing w:line="480" w:lineRule="auto"/>
              <w:rPr>
                <w:rFonts w:ascii="Arial" w:hAnsi="Arial"/>
                <w:sz w:val="24"/>
                <w:szCs w:val="24"/>
              </w:rPr>
            </w:pPr>
          </w:p>
        </w:tc>
      </w:tr>
      <w:tr w14:paraId="3FB166D7">
        <w:tblPrEx>
          <w:tblCellMar>
            <w:top w:w="0" w:type="dxa"/>
            <w:left w:w="108" w:type="dxa"/>
            <w:bottom w:w="0" w:type="dxa"/>
            <w:right w:w="108" w:type="dxa"/>
          </w:tblCellMar>
        </w:tblPrEx>
        <w:trPr>
          <w:trHeight w:val="894" w:hRule="atLeast"/>
          <w:jc w:val="center"/>
        </w:trPr>
        <w:tc>
          <w:tcPr>
            <w:tcW w:w="2710" w:type="dxa"/>
            <w:tcBorders>
              <w:top w:val="single" w:color="auto" w:sz="4" w:space="0"/>
              <w:left w:val="single" w:color="auto" w:sz="4" w:space="0"/>
              <w:bottom w:val="single" w:color="auto" w:sz="4" w:space="0"/>
              <w:right w:val="single" w:color="auto" w:sz="4" w:space="0"/>
            </w:tcBorders>
            <w:vAlign w:val="center"/>
          </w:tcPr>
          <w:p w14:paraId="5B67B5B3">
            <w:pPr>
              <w:jc w:val="center"/>
              <w:rPr>
                <w:b/>
                <w:sz w:val="24"/>
                <w:szCs w:val="24"/>
              </w:rPr>
            </w:pPr>
            <w:r>
              <w:rPr>
                <w:rFonts w:hint="eastAsia"/>
                <w:b/>
                <w:sz w:val="24"/>
                <w:szCs w:val="24"/>
              </w:rPr>
              <w:t>质保期限</w:t>
            </w:r>
          </w:p>
        </w:tc>
        <w:tc>
          <w:tcPr>
            <w:tcW w:w="6717" w:type="dxa"/>
            <w:tcBorders>
              <w:top w:val="single" w:color="auto" w:sz="4" w:space="0"/>
              <w:left w:val="nil"/>
              <w:bottom w:val="single" w:color="auto" w:sz="4" w:space="0"/>
              <w:right w:val="single" w:color="auto" w:sz="4" w:space="0"/>
            </w:tcBorders>
            <w:vAlign w:val="center"/>
          </w:tcPr>
          <w:p w14:paraId="34B28552">
            <w:pPr>
              <w:pStyle w:val="36"/>
              <w:spacing w:line="480" w:lineRule="auto"/>
              <w:rPr>
                <w:rFonts w:ascii="Arial" w:hAnsi="Arial"/>
                <w:sz w:val="24"/>
                <w:szCs w:val="24"/>
              </w:rPr>
            </w:pPr>
          </w:p>
        </w:tc>
      </w:tr>
      <w:tr w14:paraId="4E46E616">
        <w:tblPrEx>
          <w:tblCellMar>
            <w:top w:w="0" w:type="dxa"/>
            <w:left w:w="108" w:type="dxa"/>
            <w:bottom w:w="0" w:type="dxa"/>
            <w:right w:w="108" w:type="dxa"/>
          </w:tblCellMar>
        </w:tblPrEx>
        <w:trPr>
          <w:trHeight w:val="117" w:hRule="atLeast"/>
          <w:jc w:val="center"/>
        </w:trPr>
        <w:tc>
          <w:tcPr>
            <w:tcW w:w="2710" w:type="dxa"/>
            <w:tcBorders>
              <w:top w:val="single" w:color="auto" w:sz="4" w:space="0"/>
              <w:left w:val="single" w:color="auto" w:sz="4" w:space="0"/>
              <w:bottom w:val="single" w:color="auto" w:sz="4" w:space="0"/>
              <w:right w:val="single" w:color="auto" w:sz="4" w:space="0"/>
            </w:tcBorders>
            <w:vAlign w:val="center"/>
          </w:tcPr>
          <w:p w14:paraId="2B9B05B5">
            <w:pPr>
              <w:jc w:val="center"/>
              <w:rPr>
                <w:b/>
                <w:sz w:val="24"/>
                <w:szCs w:val="24"/>
              </w:rPr>
            </w:pPr>
            <w:r>
              <w:rPr>
                <w:rFonts w:hint="eastAsia"/>
                <w:b/>
                <w:sz w:val="24"/>
                <w:szCs w:val="24"/>
              </w:rPr>
              <w:t>质量要求</w:t>
            </w:r>
          </w:p>
        </w:tc>
        <w:tc>
          <w:tcPr>
            <w:tcW w:w="6717" w:type="dxa"/>
            <w:tcBorders>
              <w:top w:val="single" w:color="auto" w:sz="4" w:space="0"/>
              <w:left w:val="nil"/>
              <w:bottom w:val="single" w:color="auto" w:sz="4" w:space="0"/>
              <w:right w:val="single" w:color="auto" w:sz="4" w:space="0"/>
            </w:tcBorders>
            <w:vAlign w:val="center"/>
          </w:tcPr>
          <w:p w14:paraId="7536B190">
            <w:pPr>
              <w:spacing w:line="360" w:lineRule="auto"/>
              <w:rPr>
                <w:rFonts w:ascii="Arial" w:hAnsi="Arial"/>
                <w:sz w:val="24"/>
                <w:szCs w:val="24"/>
              </w:rPr>
            </w:pPr>
            <w:r>
              <w:rPr>
                <w:rFonts w:hint="eastAsia" w:ascii="Arial" w:hAnsi="Arial"/>
                <w:sz w:val="24"/>
                <w:szCs w:val="24"/>
              </w:rPr>
              <w:t>符合国家质量验收标准及采购人要求。</w:t>
            </w:r>
          </w:p>
        </w:tc>
      </w:tr>
      <w:tr w14:paraId="16B9DF8D">
        <w:tblPrEx>
          <w:tblCellMar>
            <w:top w:w="0" w:type="dxa"/>
            <w:left w:w="108" w:type="dxa"/>
            <w:bottom w:w="0" w:type="dxa"/>
            <w:right w:w="108" w:type="dxa"/>
          </w:tblCellMar>
        </w:tblPrEx>
        <w:trPr>
          <w:trHeight w:val="576" w:hRule="atLeast"/>
          <w:jc w:val="center"/>
        </w:trPr>
        <w:tc>
          <w:tcPr>
            <w:tcW w:w="2710" w:type="dxa"/>
            <w:tcBorders>
              <w:top w:val="single" w:color="auto" w:sz="4" w:space="0"/>
              <w:left w:val="single" w:color="auto" w:sz="4" w:space="0"/>
              <w:bottom w:val="single" w:color="auto" w:sz="4" w:space="0"/>
              <w:right w:val="single" w:color="auto" w:sz="4" w:space="0"/>
            </w:tcBorders>
            <w:vAlign w:val="center"/>
          </w:tcPr>
          <w:p w14:paraId="10F5AEBD">
            <w:pPr>
              <w:jc w:val="center"/>
              <w:rPr>
                <w:b/>
                <w:sz w:val="24"/>
                <w:szCs w:val="24"/>
              </w:rPr>
            </w:pPr>
            <w:r>
              <w:rPr>
                <w:rFonts w:hint="eastAsia"/>
                <w:b/>
                <w:sz w:val="24"/>
                <w:szCs w:val="24"/>
              </w:rPr>
              <w:t>备注</w:t>
            </w:r>
          </w:p>
        </w:tc>
        <w:tc>
          <w:tcPr>
            <w:tcW w:w="6717" w:type="dxa"/>
            <w:tcBorders>
              <w:top w:val="single" w:color="auto" w:sz="4" w:space="0"/>
              <w:left w:val="nil"/>
              <w:bottom w:val="single" w:color="auto" w:sz="4" w:space="0"/>
              <w:right w:val="single" w:color="auto" w:sz="4" w:space="0"/>
            </w:tcBorders>
            <w:vAlign w:val="center"/>
          </w:tcPr>
          <w:p w14:paraId="3C3D4CD8">
            <w:pPr>
              <w:rPr>
                <w:sz w:val="24"/>
                <w:szCs w:val="24"/>
              </w:rPr>
            </w:pPr>
          </w:p>
        </w:tc>
      </w:tr>
    </w:tbl>
    <w:p w14:paraId="73C1D8F8">
      <w:pPr>
        <w:spacing w:line="360" w:lineRule="auto"/>
        <w:rPr>
          <w:rFonts w:ascii="宋体" w:hAnsi="宋体"/>
          <w:b/>
          <w:szCs w:val="21"/>
        </w:rPr>
      </w:pPr>
    </w:p>
    <w:p w14:paraId="6EAD9D80">
      <w:pPr>
        <w:spacing w:line="360" w:lineRule="auto"/>
        <w:rPr>
          <w:rFonts w:ascii="宋体"/>
          <w:b/>
          <w:szCs w:val="21"/>
        </w:rPr>
      </w:pPr>
      <w:r>
        <w:rPr>
          <w:rFonts w:hint="eastAsia" w:ascii="宋体" w:hAnsi="宋体"/>
          <w:b/>
          <w:szCs w:val="21"/>
        </w:rPr>
        <w:t>注</w:t>
      </w:r>
      <w:r>
        <w:rPr>
          <w:rFonts w:ascii="宋体" w:hAnsi="宋体"/>
          <w:b/>
          <w:szCs w:val="21"/>
        </w:rPr>
        <w:t xml:space="preserve">: </w:t>
      </w:r>
    </w:p>
    <w:p w14:paraId="158017A3">
      <w:pPr>
        <w:spacing w:line="480" w:lineRule="auto"/>
        <w:rPr>
          <w:rFonts w:ascii="宋体"/>
          <w:b/>
          <w:szCs w:val="21"/>
        </w:rPr>
      </w:pPr>
      <w:r>
        <w:rPr>
          <w:rFonts w:ascii="宋体" w:hAnsi="宋体"/>
          <w:b/>
          <w:szCs w:val="21"/>
        </w:rPr>
        <w:t>1</w:t>
      </w:r>
      <w:r>
        <w:rPr>
          <w:rFonts w:hint="eastAsia" w:ascii="宋体" w:hAnsi="宋体"/>
          <w:b/>
          <w:szCs w:val="21"/>
        </w:rPr>
        <w:t>、本项目仅接受一个价格，不得填报有选择性报价方案。若有优惠条款须注明，但不得影响报价，影响产品整体功能。</w:t>
      </w:r>
    </w:p>
    <w:p w14:paraId="6E177D7D">
      <w:pPr>
        <w:spacing w:line="360" w:lineRule="auto"/>
        <w:ind w:firstLine="420" w:firstLineChars="200"/>
        <w:jc w:val="right"/>
        <w:rPr>
          <w:rFonts w:ascii="Arial" w:hAnsi="Arial"/>
          <w:szCs w:val="21"/>
        </w:rPr>
      </w:pPr>
      <w:r>
        <w:rPr>
          <w:rFonts w:hint="eastAsia" w:ascii="Arial" w:hAnsi="Arial"/>
          <w:szCs w:val="21"/>
        </w:rPr>
        <w:t>供应商名称（公章）：</w:t>
      </w:r>
    </w:p>
    <w:p w14:paraId="163603DF">
      <w:pPr>
        <w:spacing w:line="360" w:lineRule="auto"/>
        <w:ind w:firstLine="420" w:firstLineChars="200"/>
        <w:jc w:val="right"/>
        <w:rPr>
          <w:rFonts w:ascii="Arial" w:hAnsi="Arial"/>
          <w:szCs w:val="21"/>
          <w:u w:val="single"/>
        </w:rPr>
      </w:pPr>
      <w:r>
        <w:rPr>
          <w:rFonts w:hint="eastAsia" w:ascii="Arial" w:hAnsi="Arial"/>
          <w:szCs w:val="21"/>
        </w:rPr>
        <w:t>供应商授权代表姓名（签字或签章）：</w:t>
      </w:r>
    </w:p>
    <w:p w14:paraId="313F4560">
      <w:pPr>
        <w:spacing w:line="360" w:lineRule="auto"/>
        <w:ind w:firstLine="420" w:firstLineChars="200"/>
        <w:jc w:val="right"/>
        <w:rPr>
          <w:rFonts w:ascii="Arial" w:hAnsi="Arial"/>
          <w:szCs w:val="21"/>
        </w:rPr>
      </w:pPr>
      <w:r>
        <w:rPr>
          <w:rFonts w:hint="eastAsia" w:ascii="Arial" w:hAnsi="Arial"/>
          <w:szCs w:val="21"/>
        </w:rPr>
        <w:t>日期：年月日</w:t>
      </w:r>
    </w:p>
    <w:p w14:paraId="635532AA">
      <w:pPr>
        <w:widowControl/>
        <w:adjustRightInd w:val="0"/>
        <w:spacing w:line="360" w:lineRule="auto"/>
        <w:jc w:val="left"/>
        <w:rPr>
          <w:rFonts w:ascii="宋体" w:cs="微软雅黑"/>
          <w:b/>
          <w:kern w:val="0"/>
          <w:szCs w:val="21"/>
          <w:lang w:val="zh-CN"/>
        </w:rPr>
      </w:pPr>
    </w:p>
    <w:p w14:paraId="568585D7">
      <w:pPr>
        <w:widowControl/>
        <w:adjustRightInd w:val="0"/>
        <w:spacing w:line="360" w:lineRule="auto"/>
        <w:jc w:val="left"/>
        <w:rPr>
          <w:rFonts w:ascii="宋体" w:cs="微软雅黑"/>
          <w:b/>
          <w:kern w:val="0"/>
          <w:szCs w:val="21"/>
          <w:lang w:val="zh-CN"/>
        </w:rPr>
      </w:pPr>
    </w:p>
    <w:p w14:paraId="464C4262">
      <w:pPr>
        <w:widowControl/>
        <w:adjustRightInd w:val="0"/>
        <w:spacing w:line="360" w:lineRule="auto"/>
        <w:jc w:val="left"/>
        <w:rPr>
          <w:rFonts w:ascii="宋体" w:cs="微软雅黑"/>
          <w:b/>
          <w:kern w:val="0"/>
          <w:szCs w:val="21"/>
          <w:lang w:val="zh-CN"/>
        </w:rPr>
      </w:pPr>
    </w:p>
    <w:p w14:paraId="769B9472">
      <w:pPr>
        <w:widowControl/>
        <w:adjustRightInd w:val="0"/>
        <w:spacing w:line="360" w:lineRule="auto"/>
        <w:jc w:val="left"/>
        <w:rPr>
          <w:rFonts w:ascii="宋体" w:cs="微软雅黑"/>
          <w:b/>
          <w:kern w:val="0"/>
          <w:szCs w:val="21"/>
          <w:lang w:val="zh-CN"/>
        </w:rPr>
      </w:pPr>
    </w:p>
    <w:p w14:paraId="499ADA5E">
      <w:pPr>
        <w:widowControl/>
        <w:adjustRightInd w:val="0"/>
        <w:spacing w:line="360" w:lineRule="auto"/>
        <w:jc w:val="left"/>
        <w:rPr>
          <w:rFonts w:ascii="宋体" w:cs="微软雅黑"/>
          <w:b/>
          <w:kern w:val="0"/>
          <w:szCs w:val="21"/>
          <w:lang w:val="zh-CN"/>
        </w:rPr>
      </w:pPr>
    </w:p>
    <w:p w14:paraId="54B812DA">
      <w:pPr>
        <w:widowControl/>
        <w:adjustRightInd w:val="0"/>
        <w:spacing w:line="360" w:lineRule="auto"/>
        <w:jc w:val="left"/>
        <w:rPr>
          <w:rFonts w:ascii="宋体" w:cs="微软雅黑"/>
          <w:b/>
          <w:kern w:val="0"/>
          <w:szCs w:val="21"/>
          <w:lang w:val="zh-CN"/>
        </w:rPr>
      </w:pPr>
    </w:p>
    <w:p w14:paraId="34B812B5">
      <w:pPr>
        <w:widowControl/>
        <w:adjustRightInd w:val="0"/>
        <w:spacing w:line="360" w:lineRule="auto"/>
        <w:jc w:val="left"/>
        <w:rPr>
          <w:rFonts w:ascii="宋体" w:cs="微软雅黑"/>
          <w:b/>
          <w:kern w:val="0"/>
          <w:szCs w:val="21"/>
          <w:lang w:val="zh-CN"/>
        </w:rPr>
      </w:pPr>
    </w:p>
    <w:p w14:paraId="14B2779B">
      <w:pPr>
        <w:widowControl/>
        <w:adjustRightInd w:val="0"/>
        <w:spacing w:line="360" w:lineRule="auto"/>
        <w:jc w:val="left"/>
        <w:rPr>
          <w:rFonts w:ascii="宋体" w:cs="微软雅黑"/>
          <w:b/>
          <w:kern w:val="0"/>
          <w:szCs w:val="21"/>
          <w:lang w:val="zh-CN"/>
        </w:rPr>
      </w:pPr>
    </w:p>
    <w:p w14:paraId="1DA34496">
      <w:pPr>
        <w:widowControl/>
        <w:adjustRightInd w:val="0"/>
        <w:spacing w:line="360" w:lineRule="auto"/>
        <w:jc w:val="left"/>
        <w:rPr>
          <w:rFonts w:ascii="宋体" w:cs="微软雅黑"/>
          <w:b/>
          <w:kern w:val="0"/>
          <w:szCs w:val="21"/>
          <w:lang w:val="zh-CN"/>
        </w:rPr>
      </w:pPr>
    </w:p>
    <w:p w14:paraId="1B8AE8B7">
      <w:pPr>
        <w:widowControl/>
        <w:adjustRightInd w:val="0"/>
        <w:spacing w:line="360" w:lineRule="auto"/>
        <w:jc w:val="left"/>
        <w:rPr>
          <w:rFonts w:ascii="宋体" w:cs="微软雅黑"/>
          <w:b/>
          <w:kern w:val="0"/>
          <w:szCs w:val="21"/>
          <w:lang w:val="zh-CN"/>
        </w:rPr>
      </w:pPr>
    </w:p>
    <w:p w14:paraId="3B0E6D20">
      <w:pPr>
        <w:widowControl/>
        <w:adjustRightInd w:val="0"/>
        <w:spacing w:line="360" w:lineRule="auto"/>
        <w:jc w:val="left"/>
        <w:rPr>
          <w:rFonts w:ascii="宋体" w:cs="微软雅黑"/>
          <w:b/>
          <w:kern w:val="0"/>
          <w:szCs w:val="21"/>
          <w:lang w:val="zh-CN"/>
        </w:rPr>
      </w:pPr>
    </w:p>
    <w:p w14:paraId="337D4AC1">
      <w:pPr>
        <w:widowControl/>
        <w:adjustRightInd w:val="0"/>
        <w:spacing w:line="360" w:lineRule="auto"/>
        <w:jc w:val="left"/>
        <w:rPr>
          <w:rFonts w:ascii="宋体" w:cs="微软雅黑"/>
          <w:b/>
          <w:kern w:val="0"/>
          <w:szCs w:val="21"/>
          <w:lang w:val="zh-CN"/>
        </w:rPr>
      </w:pPr>
    </w:p>
    <w:p w14:paraId="68A997B1">
      <w:pPr>
        <w:widowControl/>
        <w:adjustRightInd w:val="0"/>
        <w:spacing w:line="360" w:lineRule="auto"/>
        <w:jc w:val="left"/>
        <w:rPr>
          <w:rFonts w:ascii="宋体" w:cs="微软雅黑"/>
          <w:b/>
          <w:kern w:val="0"/>
          <w:szCs w:val="21"/>
          <w:lang w:val="zh-CN"/>
        </w:rPr>
      </w:pPr>
    </w:p>
    <w:p w14:paraId="4D2D4960">
      <w:pPr>
        <w:widowControl/>
        <w:adjustRightInd w:val="0"/>
        <w:spacing w:line="360" w:lineRule="auto"/>
        <w:jc w:val="left"/>
        <w:rPr>
          <w:rFonts w:ascii="宋体" w:cs="微软雅黑"/>
          <w:b/>
          <w:kern w:val="0"/>
          <w:szCs w:val="21"/>
          <w:lang w:val="zh-CN"/>
        </w:rPr>
      </w:pPr>
    </w:p>
    <w:p w14:paraId="2F887AC0">
      <w:pPr>
        <w:widowControl/>
        <w:adjustRightInd w:val="0"/>
        <w:spacing w:line="360" w:lineRule="auto"/>
        <w:jc w:val="center"/>
        <w:rPr>
          <w:rFonts w:ascii="宋体" w:cs="微软雅黑"/>
          <w:b/>
          <w:kern w:val="0"/>
          <w:szCs w:val="21"/>
          <w:lang w:val="zh-CN"/>
        </w:rPr>
        <w:sectPr>
          <w:headerReference r:id="rId3" w:type="default"/>
          <w:footerReference r:id="rId4" w:type="default"/>
          <w:pgSz w:w="11906" w:h="16838"/>
          <w:pgMar w:top="567" w:right="851" w:bottom="567" w:left="851" w:header="567" w:footer="624" w:gutter="0"/>
          <w:cols w:space="720" w:num="1"/>
          <w:docGrid w:linePitch="290" w:charSpace="0"/>
        </w:sectPr>
      </w:pPr>
    </w:p>
    <w:p w14:paraId="2C5E8BD2">
      <w:pPr>
        <w:widowControl/>
        <w:adjustRightInd w:val="0"/>
        <w:spacing w:line="360" w:lineRule="auto"/>
        <w:jc w:val="center"/>
        <w:rPr>
          <w:rFonts w:ascii="宋体" w:cs="微软雅黑"/>
          <w:b/>
          <w:kern w:val="0"/>
          <w:szCs w:val="21"/>
          <w:lang w:val="zh-CN"/>
        </w:rPr>
      </w:pPr>
      <w:r>
        <w:rPr>
          <w:rFonts w:hint="eastAsia" w:ascii="宋体" w:cs="微软雅黑"/>
          <w:b/>
          <w:kern w:val="0"/>
          <w:szCs w:val="21"/>
          <w:lang w:val="zh-CN"/>
        </w:rPr>
        <w:t>明细报价表</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985"/>
        <w:gridCol w:w="3544"/>
        <w:gridCol w:w="708"/>
        <w:gridCol w:w="709"/>
        <w:gridCol w:w="1418"/>
        <w:gridCol w:w="814"/>
      </w:tblGrid>
      <w:tr w14:paraId="55D3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1242" w:type="dxa"/>
            <w:vAlign w:val="center"/>
          </w:tcPr>
          <w:p w14:paraId="28DECE01">
            <w:pPr>
              <w:widowControl/>
              <w:adjustRightInd w:val="0"/>
              <w:spacing w:line="360" w:lineRule="auto"/>
              <w:jc w:val="center"/>
              <w:rPr>
                <w:rFonts w:ascii="宋体" w:cs="微软雅黑"/>
                <w:b/>
                <w:bCs/>
                <w:kern w:val="0"/>
                <w:szCs w:val="21"/>
              </w:rPr>
            </w:pPr>
            <w:r>
              <w:rPr>
                <w:rFonts w:hint="eastAsia" w:ascii="宋体" w:cs="微软雅黑"/>
                <w:b/>
                <w:bCs/>
                <w:kern w:val="0"/>
                <w:szCs w:val="21"/>
              </w:rPr>
              <w:t>产品类别</w:t>
            </w:r>
          </w:p>
        </w:tc>
        <w:tc>
          <w:tcPr>
            <w:tcW w:w="1985" w:type="dxa"/>
            <w:vAlign w:val="center"/>
          </w:tcPr>
          <w:p w14:paraId="0691D502">
            <w:pPr>
              <w:widowControl/>
              <w:adjustRightInd w:val="0"/>
              <w:spacing w:line="360" w:lineRule="auto"/>
              <w:jc w:val="center"/>
              <w:rPr>
                <w:rFonts w:ascii="宋体" w:cs="微软雅黑"/>
                <w:b/>
                <w:bCs/>
                <w:kern w:val="0"/>
                <w:szCs w:val="21"/>
              </w:rPr>
            </w:pPr>
            <w:r>
              <w:rPr>
                <w:rFonts w:hint="eastAsia" w:ascii="宋体" w:cs="微软雅黑"/>
                <w:b/>
                <w:bCs/>
                <w:kern w:val="0"/>
                <w:szCs w:val="21"/>
              </w:rPr>
              <w:t>平台模块</w:t>
            </w:r>
          </w:p>
        </w:tc>
        <w:tc>
          <w:tcPr>
            <w:tcW w:w="3544" w:type="dxa"/>
            <w:vAlign w:val="center"/>
          </w:tcPr>
          <w:p w14:paraId="23A55CA2">
            <w:pPr>
              <w:widowControl/>
              <w:adjustRightInd w:val="0"/>
              <w:spacing w:line="360" w:lineRule="auto"/>
              <w:jc w:val="center"/>
              <w:rPr>
                <w:rFonts w:ascii="宋体" w:cs="微软雅黑"/>
                <w:b/>
                <w:bCs/>
                <w:kern w:val="0"/>
                <w:szCs w:val="21"/>
              </w:rPr>
            </w:pPr>
            <w:r>
              <w:rPr>
                <w:rFonts w:hint="eastAsia" w:ascii="宋体" w:cs="微软雅黑"/>
                <w:b/>
                <w:bCs/>
                <w:kern w:val="0"/>
                <w:szCs w:val="21"/>
              </w:rPr>
              <w:t>主要功能</w:t>
            </w:r>
          </w:p>
        </w:tc>
        <w:tc>
          <w:tcPr>
            <w:tcW w:w="708" w:type="dxa"/>
            <w:vAlign w:val="center"/>
          </w:tcPr>
          <w:p w14:paraId="19DF8174">
            <w:pPr>
              <w:widowControl/>
              <w:adjustRightInd w:val="0"/>
              <w:spacing w:line="360" w:lineRule="auto"/>
              <w:jc w:val="center"/>
              <w:rPr>
                <w:rFonts w:ascii="宋体" w:cs="微软雅黑"/>
                <w:b/>
                <w:bCs/>
                <w:kern w:val="0"/>
                <w:szCs w:val="21"/>
              </w:rPr>
            </w:pPr>
            <w:r>
              <w:rPr>
                <w:rFonts w:hint="eastAsia" w:ascii="宋体" w:cs="微软雅黑"/>
                <w:b/>
                <w:bCs/>
                <w:kern w:val="0"/>
                <w:szCs w:val="21"/>
              </w:rPr>
              <w:t>数量</w:t>
            </w:r>
          </w:p>
        </w:tc>
        <w:tc>
          <w:tcPr>
            <w:tcW w:w="709" w:type="dxa"/>
            <w:vAlign w:val="center"/>
          </w:tcPr>
          <w:p w14:paraId="2E76075F">
            <w:pPr>
              <w:widowControl/>
              <w:adjustRightInd w:val="0"/>
              <w:spacing w:line="360" w:lineRule="auto"/>
              <w:jc w:val="center"/>
              <w:rPr>
                <w:rFonts w:ascii="宋体" w:cs="微软雅黑"/>
                <w:b/>
                <w:bCs/>
                <w:kern w:val="0"/>
                <w:szCs w:val="21"/>
              </w:rPr>
            </w:pPr>
            <w:r>
              <w:rPr>
                <w:rFonts w:hint="eastAsia" w:ascii="宋体" w:cs="微软雅黑"/>
                <w:b/>
                <w:bCs/>
                <w:kern w:val="0"/>
                <w:szCs w:val="21"/>
              </w:rPr>
              <w:t>单位</w:t>
            </w:r>
          </w:p>
        </w:tc>
        <w:tc>
          <w:tcPr>
            <w:tcW w:w="1418" w:type="dxa"/>
            <w:vAlign w:val="center"/>
          </w:tcPr>
          <w:p w14:paraId="0105A540">
            <w:pPr>
              <w:widowControl/>
              <w:adjustRightInd w:val="0"/>
              <w:spacing w:line="360" w:lineRule="auto"/>
              <w:jc w:val="center"/>
              <w:rPr>
                <w:rFonts w:ascii="宋体" w:cs="微软雅黑"/>
                <w:b/>
                <w:bCs/>
                <w:kern w:val="0"/>
                <w:szCs w:val="21"/>
              </w:rPr>
            </w:pPr>
            <w:r>
              <w:rPr>
                <w:rFonts w:hint="eastAsia" w:ascii="宋体" w:cs="微软雅黑"/>
                <w:b/>
                <w:bCs/>
                <w:kern w:val="0"/>
                <w:szCs w:val="21"/>
              </w:rPr>
              <w:t>报价</w:t>
            </w:r>
          </w:p>
        </w:tc>
        <w:tc>
          <w:tcPr>
            <w:tcW w:w="814" w:type="dxa"/>
            <w:vAlign w:val="center"/>
          </w:tcPr>
          <w:p w14:paraId="50A144A4">
            <w:pPr>
              <w:widowControl/>
              <w:adjustRightInd w:val="0"/>
              <w:spacing w:line="360" w:lineRule="auto"/>
              <w:jc w:val="center"/>
              <w:rPr>
                <w:rFonts w:ascii="宋体" w:cs="微软雅黑"/>
                <w:b/>
                <w:bCs/>
                <w:kern w:val="0"/>
                <w:szCs w:val="21"/>
              </w:rPr>
            </w:pPr>
            <w:r>
              <w:rPr>
                <w:rFonts w:hint="eastAsia" w:ascii="宋体" w:cs="微软雅黑"/>
                <w:b/>
                <w:bCs/>
                <w:kern w:val="0"/>
                <w:szCs w:val="21"/>
              </w:rPr>
              <w:t>备注</w:t>
            </w:r>
          </w:p>
        </w:tc>
      </w:tr>
      <w:tr w14:paraId="1657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42" w:type="dxa"/>
            <w:vMerge w:val="restart"/>
            <w:vAlign w:val="center"/>
          </w:tcPr>
          <w:p w14:paraId="2206085E">
            <w:pPr>
              <w:widowControl/>
              <w:adjustRightInd w:val="0"/>
              <w:spacing w:line="360" w:lineRule="auto"/>
              <w:jc w:val="center"/>
              <w:rPr>
                <w:rFonts w:ascii="宋体" w:cs="微软雅黑"/>
                <w:bCs/>
                <w:kern w:val="0"/>
                <w:szCs w:val="21"/>
              </w:rPr>
            </w:pPr>
            <w:r>
              <w:rPr>
                <w:rFonts w:hint="eastAsia" w:ascii="宋体" w:cs="微软雅黑"/>
                <w:bCs/>
                <w:kern w:val="0"/>
                <w:szCs w:val="21"/>
              </w:rPr>
              <w:t>应用系统</w:t>
            </w:r>
          </w:p>
        </w:tc>
        <w:tc>
          <w:tcPr>
            <w:tcW w:w="1985" w:type="dxa"/>
            <w:vAlign w:val="center"/>
          </w:tcPr>
          <w:p w14:paraId="5C7BCA93">
            <w:pPr>
              <w:widowControl/>
              <w:adjustRightInd w:val="0"/>
              <w:spacing w:line="360" w:lineRule="auto"/>
              <w:jc w:val="center"/>
              <w:rPr>
                <w:rFonts w:ascii="宋体" w:cs="微软雅黑"/>
                <w:kern w:val="0"/>
                <w:szCs w:val="21"/>
              </w:rPr>
            </w:pPr>
            <w:r>
              <w:rPr>
                <w:rFonts w:hint="eastAsia" w:ascii="宋体" w:cs="微软雅黑"/>
                <w:kern w:val="0"/>
                <w:szCs w:val="21"/>
              </w:rPr>
              <w:t>预算管理系统</w:t>
            </w:r>
          </w:p>
        </w:tc>
        <w:tc>
          <w:tcPr>
            <w:tcW w:w="3544" w:type="dxa"/>
            <w:vAlign w:val="center"/>
          </w:tcPr>
          <w:p w14:paraId="14174DBC">
            <w:pPr>
              <w:widowControl/>
              <w:adjustRightInd w:val="0"/>
              <w:spacing w:line="360" w:lineRule="auto"/>
              <w:rPr>
                <w:rFonts w:ascii="宋体" w:cs="微软雅黑"/>
                <w:kern w:val="0"/>
                <w:szCs w:val="21"/>
              </w:rPr>
            </w:pPr>
            <w:r>
              <w:rPr>
                <w:rFonts w:hint="eastAsia" w:ascii="宋体" w:cs="微软雅黑"/>
                <w:kern w:val="0"/>
                <w:szCs w:val="21"/>
              </w:rPr>
              <w:t>预算</w:t>
            </w:r>
            <w:r>
              <w:rPr>
                <w:rFonts w:ascii="宋体" w:cs="微软雅黑"/>
                <w:kern w:val="0"/>
                <w:szCs w:val="21"/>
              </w:rPr>
              <w:t>编制、指标管理、执行控制、调剂追加、分析报表</w:t>
            </w:r>
          </w:p>
        </w:tc>
        <w:tc>
          <w:tcPr>
            <w:tcW w:w="708" w:type="dxa"/>
            <w:vAlign w:val="center"/>
          </w:tcPr>
          <w:p w14:paraId="5D0DE117">
            <w:pPr>
              <w:widowControl/>
              <w:adjustRightInd w:val="0"/>
              <w:spacing w:line="360" w:lineRule="auto"/>
              <w:jc w:val="center"/>
              <w:rPr>
                <w:rFonts w:ascii="宋体" w:cs="微软雅黑"/>
                <w:kern w:val="0"/>
                <w:szCs w:val="21"/>
              </w:rPr>
            </w:pPr>
            <w:r>
              <w:rPr>
                <w:rFonts w:hint="eastAsia" w:ascii="宋体" w:cs="微软雅黑"/>
                <w:kern w:val="0"/>
                <w:szCs w:val="21"/>
              </w:rPr>
              <w:t>1</w:t>
            </w:r>
          </w:p>
        </w:tc>
        <w:tc>
          <w:tcPr>
            <w:tcW w:w="709" w:type="dxa"/>
            <w:vAlign w:val="center"/>
          </w:tcPr>
          <w:p w14:paraId="7881073E">
            <w:pPr>
              <w:widowControl/>
              <w:adjustRightInd w:val="0"/>
              <w:spacing w:line="360" w:lineRule="auto"/>
              <w:jc w:val="center"/>
              <w:rPr>
                <w:rFonts w:ascii="宋体" w:cs="微软雅黑"/>
                <w:kern w:val="0"/>
                <w:szCs w:val="21"/>
              </w:rPr>
            </w:pPr>
            <w:r>
              <w:rPr>
                <w:rFonts w:hint="eastAsia" w:ascii="宋体" w:cs="微软雅黑"/>
                <w:kern w:val="0"/>
                <w:szCs w:val="21"/>
              </w:rPr>
              <w:t>套</w:t>
            </w:r>
          </w:p>
        </w:tc>
        <w:tc>
          <w:tcPr>
            <w:tcW w:w="1418" w:type="dxa"/>
            <w:vAlign w:val="center"/>
          </w:tcPr>
          <w:p w14:paraId="08FFD834">
            <w:pPr>
              <w:widowControl/>
              <w:adjustRightInd w:val="0"/>
              <w:spacing w:line="360" w:lineRule="auto"/>
              <w:jc w:val="center"/>
              <w:rPr>
                <w:rFonts w:ascii="宋体" w:cs="微软雅黑"/>
                <w:kern w:val="0"/>
                <w:szCs w:val="21"/>
              </w:rPr>
            </w:pPr>
          </w:p>
        </w:tc>
        <w:tc>
          <w:tcPr>
            <w:tcW w:w="814" w:type="dxa"/>
            <w:vAlign w:val="center"/>
          </w:tcPr>
          <w:p w14:paraId="5A15EDF9">
            <w:pPr>
              <w:widowControl/>
              <w:adjustRightInd w:val="0"/>
              <w:spacing w:line="360" w:lineRule="auto"/>
              <w:jc w:val="center"/>
              <w:rPr>
                <w:rFonts w:ascii="宋体" w:cs="微软雅黑"/>
                <w:kern w:val="0"/>
                <w:szCs w:val="21"/>
              </w:rPr>
            </w:pPr>
          </w:p>
        </w:tc>
      </w:tr>
      <w:tr w14:paraId="4F7F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42" w:type="dxa"/>
            <w:vMerge w:val="continue"/>
            <w:vAlign w:val="center"/>
          </w:tcPr>
          <w:p w14:paraId="2F4A0EED">
            <w:pPr>
              <w:widowControl/>
              <w:adjustRightInd w:val="0"/>
              <w:spacing w:line="360" w:lineRule="auto"/>
              <w:jc w:val="center"/>
              <w:rPr>
                <w:rFonts w:ascii="宋体" w:cs="微软雅黑"/>
                <w:bCs/>
                <w:kern w:val="0"/>
                <w:szCs w:val="21"/>
              </w:rPr>
            </w:pPr>
          </w:p>
        </w:tc>
        <w:tc>
          <w:tcPr>
            <w:tcW w:w="1985" w:type="dxa"/>
            <w:vAlign w:val="center"/>
          </w:tcPr>
          <w:p w14:paraId="472B64BA">
            <w:pPr>
              <w:widowControl/>
              <w:adjustRightInd w:val="0"/>
              <w:spacing w:line="360" w:lineRule="auto"/>
              <w:jc w:val="center"/>
              <w:rPr>
                <w:rFonts w:ascii="宋体" w:cs="微软雅黑"/>
                <w:kern w:val="0"/>
                <w:szCs w:val="21"/>
              </w:rPr>
            </w:pPr>
            <w:r>
              <w:rPr>
                <w:rFonts w:hint="eastAsia" w:ascii="宋体" w:cs="微软雅黑"/>
                <w:kern w:val="0"/>
                <w:szCs w:val="21"/>
              </w:rPr>
              <w:t>网上报销系统</w:t>
            </w:r>
          </w:p>
        </w:tc>
        <w:tc>
          <w:tcPr>
            <w:tcW w:w="3544" w:type="dxa"/>
            <w:vAlign w:val="center"/>
          </w:tcPr>
          <w:p w14:paraId="66C40A1C">
            <w:pPr>
              <w:widowControl/>
              <w:adjustRightInd w:val="0"/>
              <w:spacing w:line="360" w:lineRule="auto"/>
              <w:rPr>
                <w:rFonts w:ascii="宋体" w:cs="微软雅黑"/>
                <w:kern w:val="0"/>
                <w:szCs w:val="21"/>
              </w:rPr>
            </w:pPr>
            <w:r>
              <w:rPr>
                <w:rFonts w:hint="eastAsia" w:ascii="宋体" w:cs="微软雅黑"/>
                <w:kern w:val="0"/>
                <w:szCs w:val="21"/>
              </w:rPr>
              <w:t>移动</w:t>
            </w:r>
            <w:r>
              <w:rPr>
                <w:rFonts w:ascii="宋体" w:cs="微软雅黑"/>
                <w:kern w:val="0"/>
                <w:szCs w:val="21"/>
              </w:rPr>
              <w:t>端及电脑端填报、审批流配置、发票识别、自动生成凭证</w:t>
            </w:r>
          </w:p>
        </w:tc>
        <w:tc>
          <w:tcPr>
            <w:tcW w:w="708" w:type="dxa"/>
            <w:vAlign w:val="center"/>
          </w:tcPr>
          <w:p w14:paraId="09C4CC83">
            <w:pPr>
              <w:widowControl/>
              <w:adjustRightInd w:val="0"/>
              <w:spacing w:line="360" w:lineRule="auto"/>
              <w:jc w:val="center"/>
              <w:rPr>
                <w:rFonts w:ascii="宋体" w:cs="微软雅黑"/>
                <w:kern w:val="0"/>
                <w:szCs w:val="21"/>
              </w:rPr>
            </w:pPr>
            <w:r>
              <w:rPr>
                <w:rFonts w:hint="eastAsia" w:ascii="宋体" w:cs="微软雅黑"/>
                <w:kern w:val="0"/>
                <w:szCs w:val="21"/>
              </w:rPr>
              <w:t>1</w:t>
            </w:r>
          </w:p>
        </w:tc>
        <w:tc>
          <w:tcPr>
            <w:tcW w:w="709" w:type="dxa"/>
            <w:vAlign w:val="center"/>
          </w:tcPr>
          <w:p w14:paraId="5DE66620">
            <w:pPr>
              <w:widowControl/>
              <w:adjustRightInd w:val="0"/>
              <w:spacing w:line="360" w:lineRule="auto"/>
              <w:jc w:val="center"/>
              <w:rPr>
                <w:rFonts w:ascii="宋体" w:cs="微软雅黑"/>
                <w:kern w:val="0"/>
                <w:szCs w:val="21"/>
              </w:rPr>
            </w:pPr>
            <w:r>
              <w:rPr>
                <w:rFonts w:hint="eastAsia" w:ascii="宋体" w:cs="微软雅黑"/>
                <w:kern w:val="0"/>
                <w:szCs w:val="21"/>
              </w:rPr>
              <w:t>套</w:t>
            </w:r>
          </w:p>
        </w:tc>
        <w:tc>
          <w:tcPr>
            <w:tcW w:w="1418" w:type="dxa"/>
            <w:vAlign w:val="center"/>
          </w:tcPr>
          <w:p w14:paraId="6AE8BDBA">
            <w:pPr>
              <w:widowControl/>
              <w:adjustRightInd w:val="0"/>
              <w:spacing w:line="360" w:lineRule="auto"/>
              <w:jc w:val="center"/>
              <w:rPr>
                <w:rFonts w:ascii="宋体" w:cs="微软雅黑"/>
                <w:kern w:val="0"/>
                <w:szCs w:val="21"/>
              </w:rPr>
            </w:pPr>
          </w:p>
        </w:tc>
        <w:tc>
          <w:tcPr>
            <w:tcW w:w="814" w:type="dxa"/>
            <w:vAlign w:val="center"/>
          </w:tcPr>
          <w:p w14:paraId="7DC37C2E">
            <w:pPr>
              <w:widowControl/>
              <w:adjustRightInd w:val="0"/>
              <w:spacing w:line="360" w:lineRule="auto"/>
              <w:jc w:val="center"/>
              <w:rPr>
                <w:rFonts w:ascii="宋体" w:cs="微软雅黑"/>
                <w:kern w:val="0"/>
                <w:szCs w:val="21"/>
              </w:rPr>
            </w:pPr>
          </w:p>
        </w:tc>
      </w:tr>
      <w:tr w14:paraId="15FE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1242" w:type="dxa"/>
            <w:vMerge w:val="continue"/>
            <w:vAlign w:val="center"/>
          </w:tcPr>
          <w:p w14:paraId="7BDC80A5">
            <w:pPr>
              <w:widowControl/>
              <w:adjustRightInd w:val="0"/>
              <w:spacing w:line="360" w:lineRule="auto"/>
              <w:jc w:val="center"/>
              <w:rPr>
                <w:rFonts w:ascii="宋体" w:cs="微软雅黑"/>
                <w:bCs/>
                <w:kern w:val="0"/>
                <w:szCs w:val="21"/>
              </w:rPr>
            </w:pPr>
          </w:p>
        </w:tc>
        <w:tc>
          <w:tcPr>
            <w:tcW w:w="1985" w:type="dxa"/>
            <w:vAlign w:val="center"/>
          </w:tcPr>
          <w:p w14:paraId="55403F2A">
            <w:pPr>
              <w:widowControl/>
              <w:adjustRightInd w:val="0"/>
              <w:spacing w:line="360" w:lineRule="auto"/>
              <w:jc w:val="center"/>
              <w:rPr>
                <w:rFonts w:ascii="宋体" w:cs="微软雅黑"/>
                <w:kern w:val="0"/>
                <w:szCs w:val="21"/>
              </w:rPr>
            </w:pPr>
            <w:r>
              <w:rPr>
                <w:rFonts w:hint="eastAsia" w:ascii="宋体" w:cs="微软雅黑"/>
                <w:kern w:val="0"/>
                <w:szCs w:val="21"/>
              </w:rPr>
              <w:t>小额发放系统</w:t>
            </w:r>
          </w:p>
        </w:tc>
        <w:tc>
          <w:tcPr>
            <w:tcW w:w="3544" w:type="dxa"/>
            <w:vAlign w:val="center"/>
          </w:tcPr>
          <w:p w14:paraId="1CC40673">
            <w:pPr>
              <w:widowControl/>
              <w:adjustRightInd w:val="0"/>
              <w:spacing w:line="360" w:lineRule="auto"/>
              <w:rPr>
                <w:rFonts w:ascii="宋体" w:cs="微软雅黑"/>
                <w:kern w:val="0"/>
                <w:szCs w:val="21"/>
              </w:rPr>
            </w:pPr>
            <w:r>
              <w:rPr>
                <w:rFonts w:hint="eastAsia" w:ascii="宋体" w:cs="微软雅黑"/>
                <w:kern w:val="0"/>
                <w:szCs w:val="21"/>
              </w:rPr>
              <w:t>退费</w:t>
            </w:r>
            <w:r>
              <w:rPr>
                <w:rFonts w:ascii="宋体" w:cs="微软雅黑"/>
                <w:kern w:val="0"/>
                <w:szCs w:val="21"/>
              </w:rPr>
              <w:t>申请、多级审批、应退金额自动计算、冲销及支付记录</w:t>
            </w:r>
          </w:p>
        </w:tc>
        <w:tc>
          <w:tcPr>
            <w:tcW w:w="708" w:type="dxa"/>
            <w:vAlign w:val="center"/>
          </w:tcPr>
          <w:p w14:paraId="27383B9A">
            <w:pPr>
              <w:widowControl/>
              <w:adjustRightInd w:val="0"/>
              <w:spacing w:line="360" w:lineRule="auto"/>
              <w:jc w:val="center"/>
              <w:rPr>
                <w:rFonts w:ascii="宋体" w:cs="微软雅黑"/>
                <w:kern w:val="0"/>
                <w:szCs w:val="21"/>
              </w:rPr>
            </w:pPr>
            <w:r>
              <w:rPr>
                <w:rFonts w:hint="eastAsia" w:ascii="宋体" w:cs="微软雅黑"/>
                <w:kern w:val="0"/>
                <w:szCs w:val="21"/>
              </w:rPr>
              <w:t>1</w:t>
            </w:r>
          </w:p>
        </w:tc>
        <w:tc>
          <w:tcPr>
            <w:tcW w:w="709" w:type="dxa"/>
            <w:vAlign w:val="center"/>
          </w:tcPr>
          <w:p w14:paraId="335343E9">
            <w:pPr>
              <w:widowControl/>
              <w:adjustRightInd w:val="0"/>
              <w:spacing w:line="360" w:lineRule="auto"/>
              <w:jc w:val="center"/>
              <w:rPr>
                <w:rFonts w:ascii="宋体" w:cs="微软雅黑"/>
                <w:kern w:val="0"/>
                <w:szCs w:val="21"/>
              </w:rPr>
            </w:pPr>
            <w:r>
              <w:rPr>
                <w:rFonts w:hint="eastAsia" w:ascii="宋体" w:cs="微软雅黑"/>
                <w:kern w:val="0"/>
                <w:szCs w:val="21"/>
              </w:rPr>
              <w:t>套</w:t>
            </w:r>
          </w:p>
        </w:tc>
        <w:tc>
          <w:tcPr>
            <w:tcW w:w="1418" w:type="dxa"/>
            <w:vAlign w:val="center"/>
          </w:tcPr>
          <w:p w14:paraId="1C6107A1">
            <w:pPr>
              <w:widowControl/>
              <w:adjustRightInd w:val="0"/>
              <w:spacing w:line="360" w:lineRule="auto"/>
              <w:jc w:val="center"/>
              <w:rPr>
                <w:rFonts w:ascii="宋体" w:cs="微软雅黑"/>
                <w:kern w:val="0"/>
                <w:szCs w:val="21"/>
              </w:rPr>
            </w:pPr>
          </w:p>
        </w:tc>
        <w:tc>
          <w:tcPr>
            <w:tcW w:w="814" w:type="dxa"/>
            <w:vAlign w:val="center"/>
          </w:tcPr>
          <w:p w14:paraId="516E77FD">
            <w:pPr>
              <w:widowControl/>
              <w:adjustRightInd w:val="0"/>
              <w:spacing w:line="360" w:lineRule="auto"/>
              <w:jc w:val="center"/>
              <w:rPr>
                <w:rFonts w:ascii="宋体" w:cs="微软雅黑"/>
                <w:kern w:val="0"/>
                <w:szCs w:val="21"/>
              </w:rPr>
            </w:pPr>
          </w:p>
        </w:tc>
      </w:tr>
      <w:tr w14:paraId="520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88" w:type="dxa"/>
            <w:gridSpan w:val="5"/>
            <w:vAlign w:val="center"/>
          </w:tcPr>
          <w:p w14:paraId="18B03312">
            <w:pPr>
              <w:widowControl/>
              <w:adjustRightInd w:val="0"/>
              <w:spacing w:line="360" w:lineRule="auto"/>
              <w:jc w:val="center"/>
              <w:rPr>
                <w:rFonts w:ascii="宋体" w:cs="微软雅黑"/>
                <w:kern w:val="0"/>
                <w:szCs w:val="21"/>
              </w:rPr>
            </w:pPr>
            <w:r>
              <w:rPr>
                <w:rFonts w:hint="eastAsia" w:ascii="宋体" w:cs="微软雅黑"/>
                <w:kern w:val="0"/>
                <w:szCs w:val="21"/>
              </w:rPr>
              <w:t>小计</w:t>
            </w:r>
          </w:p>
        </w:tc>
        <w:tc>
          <w:tcPr>
            <w:tcW w:w="1418" w:type="dxa"/>
            <w:vAlign w:val="center"/>
          </w:tcPr>
          <w:p w14:paraId="3AA3FE53">
            <w:pPr>
              <w:widowControl/>
              <w:adjustRightInd w:val="0"/>
              <w:spacing w:line="360" w:lineRule="auto"/>
              <w:jc w:val="center"/>
              <w:rPr>
                <w:rFonts w:ascii="宋体" w:cs="微软雅黑"/>
                <w:kern w:val="0"/>
                <w:szCs w:val="21"/>
              </w:rPr>
            </w:pPr>
          </w:p>
        </w:tc>
        <w:tc>
          <w:tcPr>
            <w:tcW w:w="814" w:type="dxa"/>
            <w:vAlign w:val="center"/>
          </w:tcPr>
          <w:p w14:paraId="40608640">
            <w:pPr>
              <w:widowControl/>
              <w:adjustRightInd w:val="0"/>
              <w:spacing w:line="360" w:lineRule="auto"/>
              <w:jc w:val="center"/>
              <w:rPr>
                <w:rFonts w:ascii="宋体" w:cs="微软雅黑"/>
                <w:kern w:val="0"/>
                <w:szCs w:val="21"/>
              </w:rPr>
            </w:pPr>
          </w:p>
        </w:tc>
      </w:tr>
      <w:tr w14:paraId="0F07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42" w:type="dxa"/>
            <w:vMerge w:val="restart"/>
            <w:vAlign w:val="center"/>
          </w:tcPr>
          <w:p w14:paraId="4EC09F4A">
            <w:pPr>
              <w:widowControl/>
              <w:adjustRightInd w:val="0"/>
              <w:spacing w:line="360" w:lineRule="auto"/>
              <w:jc w:val="center"/>
              <w:rPr>
                <w:rFonts w:ascii="宋体" w:cs="微软雅黑"/>
                <w:bCs/>
                <w:kern w:val="0"/>
                <w:szCs w:val="21"/>
              </w:rPr>
            </w:pPr>
            <w:r>
              <w:rPr>
                <w:rFonts w:hint="eastAsia" w:ascii="宋体" w:cs="微软雅黑"/>
                <w:bCs/>
                <w:kern w:val="0"/>
                <w:szCs w:val="21"/>
              </w:rPr>
              <w:t>第三方系统对接</w:t>
            </w:r>
          </w:p>
        </w:tc>
        <w:tc>
          <w:tcPr>
            <w:tcW w:w="1985" w:type="dxa"/>
            <w:vAlign w:val="center"/>
          </w:tcPr>
          <w:p w14:paraId="4F3659E5">
            <w:pPr>
              <w:widowControl/>
              <w:adjustRightInd w:val="0"/>
              <w:spacing w:line="360" w:lineRule="auto"/>
              <w:jc w:val="center"/>
              <w:rPr>
                <w:rFonts w:ascii="宋体" w:cs="微软雅黑"/>
                <w:kern w:val="0"/>
                <w:szCs w:val="21"/>
              </w:rPr>
            </w:pPr>
            <w:r>
              <w:rPr>
                <w:rFonts w:ascii="宋体" w:cs="微软雅黑"/>
                <w:kern w:val="0"/>
                <w:szCs w:val="21"/>
              </w:rPr>
              <w:t>预算管理系统与网上报销系统对接</w:t>
            </w:r>
          </w:p>
        </w:tc>
        <w:tc>
          <w:tcPr>
            <w:tcW w:w="3544" w:type="dxa"/>
            <w:vAlign w:val="center"/>
          </w:tcPr>
          <w:p w14:paraId="2BDE3499">
            <w:pPr>
              <w:widowControl/>
              <w:adjustRightInd w:val="0"/>
              <w:spacing w:line="360" w:lineRule="auto"/>
              <w:rPr>
                <w:rFonts w:ascii="宋体" w:cs="微软雅黑"/>
                <w:kern w:val="0"/>
                <w:szCs w:val="21"/>
              </w:rPr>
            </w:pPr>
            <w:r>
              <w:rPr>
                <w:rFonts w:ascii="宋体" w:cs="微软雅黑"/>
                <w:kern w:val="0"/>
                <w:szCs w:val="21"/>
              </w:rPr>
              <w:t>预算科目同步、预算余额实时校验、预算执行数据推送、预算调整同步</w:t>
            </w:r>
          </w:p>
        </w:tc>
        <w:tc>
          <w:tcPr>
            <w:tcW w:w="708" w:type="dxa"/>
            <w:vAlign w:val="center"/>
          </w:tcPr>
          <w:p w14:paraId="06948E6D">
            <w:pPr>
              <w:widowControl/>
              <w:adjustRightInd w:val="0"/>
              <w:spacing w:line="360" w:lineRule="auto"/>
              <w:jc w:val="center"/>
              <w:rPr>
                <w:rFonts w:ascii="宋体" w:cs="微软雅黑"/>
                <w:kern w:val="0"/>
                <w:szCs w:val="21"/>
              </w:rPr>
            </w:pPr>
            <w:r>
              <w:rPr>
                <w:rFonts w:hint="eastAsia" w:ascii="宋体" w:cs="微软雅黑"/>
                <w:kern w:val="0"/>
                <w:szCs w:val="21"/>
              </w:rPr>
              <w:t>1</w:t>
            </w:r>
          </w:p>
        </w:tc>
        <w:tc>
          <w:tcPr>
            <w:tcW w:w="709" w:type="dxa"/>
            <w:vAlign w:val="center"/>
          </w:tcPr>
          <w:p w14:paraId="0C28B1F5">
            <w:pPr>
              <w:widowControl/>
              <w:adjustRightInd w:val="0"/>
              <w:spacing w:line="360" w:lineRule="auto"/>
              <w:jc w:val="center"/>
              <w:rPr>
                <w:rFonts w:ascii="宋体" w:cs="微软雅黑"/>
                <w:kern w:val="0"/>
                <w:szCs w:val="21"/>
              </w:rPr>
            </w:pPr>
            <w:r>
              <w:rPr>
                <w:rFonts w:hint="eastAsia" w:ascii="宋体" w:cs="微软雅黑"/>
                <w:kern w:val="0"/>
                <w:szCs w:val="21"/>
              </w:rPr>
              <w:t>套</w:t>
            </w:r>
          </w:p>
        </w:tc>
        <w:tc>
          <w:tcPr>
            <w:tcW w:w="1418" w:type="dxa"/>
            <w:vAlign w:val="center"/>
          </w:tcPr>
          <w:p w14:paraId="103FCCFD">
            <w:pPr>
              <w:widowControl/>
              <w:adjustRightInd w:val="0"/>
              <w:spacing w:line="360" w:lineRule="auto"/>
              <w:jc w:val="center"/>
              <w:rPr>
                <w:rFonts w:ascii="宋体" w:cs="微软雅黑"/>
                <w:kern w:val="0"/>
                <w:szCs w:val="21"/>
              </w:rPr>
            </w:pPr>
          </w:p>
        </w:tc>
        <w:tc>
          <w:tcPr>
            <w:tcW w:w="814" w:type="dxa"/>
            <w:noWrap/>
            <w:vAlign w:val="center"/>
          </w:tcPr>
          <w:p w14:paraId="7AA7B63C">
            <w:pPr>
              <w:widowControl/>
              <w:adjustRightInd w:val="0"/>
              <w:spacing w:line="360" w:lineRule="auto"/>
              <w:jc w:val="center"/>
              <w:rPr>
                <w:rFonts w:ascii="宋体" w:cs="微软雅黑"/>
                <w:kern w:val="0"/>
                <w:szCs w:val="21"/>
              </w:rPr>
            </w:pPr>
          </w:p>
        </w:tc>
      </w:tr>
      <w:tr w14:paraId="5288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2" w:type="dxa"/>
            <w:vMerge w:val="continue"/>
            <w:vAlign w:val="center"/>
          </w:tcPr>
          <w:p w14:paraId="1FB2D333">
            <w:pPr>
              <w:widowControl/>
              <w:adjustRightInd w:val="0"/>
              <w:spacing w:line="360" w:lineRule="auto"/>
              <w:jc w:val="center"/>
              <w:rPr>
                <w:rFonts w:ascii="宋体" w:cs="微软雅黑"/>
                <w:bCs/>
                <w:kern w:val="0"/>
                <w:szCs w:val="21"/>
              </w:rPr>
            </w:pPr>
          </w:p>
        </w:tc>
        <w:tc>
          <w:tcPr>
            <w:tcW w:w="1985" w:type="dxa"/>
            <w:vAlign w:val="center"/>
          </w:tcPr>
          <w:p w14:paraId="4570CABD">
            <w:pPr>
              <w:widowControl/>
              <w:adjustRightInd w:val="0"/>
              <w:spacing w:line="360" w:lineRule="auto"/>
              <w:jc w:val="center"/>
              <w:rPr>
                <w:rFonts w:ascii="宋体" w:cs="微软雅黑"/>
                <w:kern w:val="0"/>
                <w:szCs w:val="21"/>
              </w:rPr>
            </w:pPr>
            <w:r>
              <w:rPr>
                <w:rFonts w:ascii="宋体" w:cs="微软雅黑"/>
                <w:kern w:val="0"/>
                <w:szCs w:val="21"/>
              </w:rPr>
              <w:t>网上报销系统与财务核算系统对接</w:t>
            </w:r>
          </w:p>
        </w:tc>
        <w:tc>
          <w:tcPr>
            <w:tcW w:w="3544" w:type="dxa"/>
            <w:vAlign w:val="center"/>
          </w:tcPr>
          <w:p w14:paraId="4E562806">
            <w:pPr>
              <w:widowControl/>
              <w:adjustRightInd w:val="0"/>
              <w:spacing w:line="360" w:lineRule="auto"/>
              <w:rPr>
                <w:rFonts w:ascii="宋体" w:cs="微软雅黑"/>
                <w:kern w:val="0"/>
                <w:szCs w:val="21"/>
              </w:rPr>
            </w:pPr>
            <w:r>
              <w:rPr>
                <w:rFonts w:ascii="宋体" w:cs="微软雅黑"/>
                <w:kern w:val="0"/>
                <w:szCs w:val="21"/>
              </w:rPr>
              <w:t>推送字段完整性、预算科目</w:t>
            </w:r>
            <w:r>
              <w:rPr>
                <w:rFonts w:hint="eastAsia" w:ascii="宋体" w:cs="微软雅黑"/>
                <w:kern w:val="0"/>
                <w:szCs w:val="21"/>
              </w:rPr>
              <w:t>-会计科目映射、凭证回写、对账功能</w:t>
            </w:r>
          </w:p>
        </w:tc>
        <w:tc>
          <w:tcPr>
            <w:tcW w:w="708" w:type="dxa"/>
            <w:vAlign w:val="center"/>
          </w:tcPr>
          <w:p w14:paraId="5A4A4F96">
            <w:pPr>
              <w:widowControl/>
              <w:adjustRightInd w:val="0"/>
              <w:spacing w:line="360" w:lineRule="auto"/>
              <w:jc w:val="center"/>
              <w:rPr>
                <w:rFonts w:ascii="宋体" w:cs="微软雅黑"/>
                <w:kern w:val="0"/>
                <w:szCs w:val="21"/>
              </w:rPr>
            </w:pPr>
            <w:r>
              <w:rPr>
                <w:rFonts w:hint="eastAsia" w:ascii="宋体" w:cs="微软雅黑"/>
                <w:kern w:val="0"/>
                <w:szCs w:val="21"/>
              </w:rPr>
              <w:t>1</w:t>
            </w:r>
          </w:p>
        </w:tc>
        <w:tc>
          <w:tcPr>
            <w:tcW w:w="709" w:type="dxa"/>
            <w:vAlign w:val="center"/>
          </w:tcPr>
          <w:p w14:paraId="6FDC0C6C">
            <w:pPr>
              <w:widowControl/>
              <w:adjustRightInd w:val="0"/>
              <w:spacing w:line="360" w:lineRule="auto"/>
              <w:jc w:val="center"/>
              <w:rPr>
                <w:rFonts w:ascii="宋体" w:cs="微软雅黑"/>
                <w:kern w:val="0"/>
                <w:szCs w:val="21"/>
              </w:rPr>
            </w:pPr>
            <w:r>
              <w:rPr>
                <w:rFonts w:hint="eastAsia" w:ascii="宋体" w:cs="微软雅黑"/>
                <w:kern w:val="0"/>
                <w:szCs w:val="21"/>
              </w:rPr>
              <w:t>套</w:t>
            </w:r>
          </w:p>
        </w:tc>
        <w:tc>
          <w:tcPr>
            <w:tcW w:w="1418" w:type="dxa"/>
            <w:vAlign w:val="center"/>
          </w:tcPr>
          <w:p w14:paraId="67D590C1">
            <w:pPr>
              <w:widowControl/>
              <w:adjustRightInd w:val="0"/>
              <w:spacing w:line="360" w:lineRule="auto"/>
              <w:jc w:val="center"/>
              <w:rPr>
                <w:rFonts w:ascii="宋体" w:cs="微软雅黑"/>
                <w:kern w:val="0"/>
                <w:szCs w:val="21"/>
              </w:rPr>
            </w:pPr>
          </w:p>
        </w:tc>
        <w:tc>
          <w:tcPr>
            <w:tcW w:w="814" w:type="dxa"/>
            <w:noWrap/>
            <w:vAlign w:val="center"/>
          </w:tcPr>
          <w:p w14:paraId="071F302E">
            <w:pPr>
              <w:widowControl/>
              <w:adjustRightInd w:val="0"/>
              <w:spacing w:line="360" w:lineRule="auto"/>
              <w:jc w:val="center"/>
              <w:rPr>
                <w:rFonts w:ascii="宋体" w:cs="微软雅黑"/>
                <w:kern w:val="0"/>
                <w:szCs w:val="21"/>
              </w:rPr>
            </w:pPr>
          </w:p>
        </w:tc>
      </w:tr>
      <w:tr w14:paraId="6052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42" w:type="dxa"/>
            <w:vMerge w:val="continue"/>
            <w:vAlign w:val="center"/>
          </w:tcPr>
          <w:p w14:paraId="49C2B32F">
            <w:pPr>
              <w:widowControl/>
              <w:adjustRightInd w:val="0"/>
              <w:spacing w:line="360" w:lineRule="auto"/>
              <w:jc w:val="center"/>
              <w:rPr>
                <w:rFonts w:ascii="宋体" w:cs="微软雅黑"/>
                <w:bCs/>
                <w:kern w:val="0"/>
                <w:szCs w:val="21"/>
              </w:rPr>
            </w:pPr>
          </w:p>
        </w:tc>
        <w:tc>
          <w:tcPr>
            <w:tcW w:w="1985" w:type="dxa"/>
            <w:vAlign w:val="center"/>
          </w:tcPr>
          <w:p w14:paraId="4D60F055">
            <w:pPr>
              <w:widowControl/>
              <w:adjustRightInd w:val="0"/>
              <w:spacing w:line="360" w:lineRule="auto"/>
              <w:jc w:val="center"/>
              <w:rPr>
                <w:rFonts w:ascii="宋体" w:cs="微软雅黑"/>
                <w:kern w:val="0"/>
                <w:szCs w:val="21"/>
              </w:rPr>
            </w:pPr>
            <w:r>
              <w:rPr>
                <w:rFonts w:ascii="宋体" w:cs="微软雅黑"/>
                <w:kern w:val="0"/>
                <w:szCs w:val="21"/>
              </w:rPr>
              <w:t>与外部系统集成</w:t>
            </w:r>
          </w:p>
        </w:tc>
        <w:tc>
          <w:tcPr>
            <w:tcW w:w="3544" w:type="dxa"/>
            <w:vAlign w:val="center"/>
          </w:tcPr>
          <w:p w14:paraId="1AF0DA0D">
            <w:pPr>
              <w:widowControl/>
              <w:adjustRightInd w:val="0"/>
              <w:spacing w:line="360" w:lineRule="auto"/>
              <w:rPr>
                <w:rFonts w:ascii="宋体" w:cs="微软雅黑"/>
                <w:kern w:val="0"/>
                <w:szCs w:val="21"/>
              </w:rPr>
            </w:pPr>
            <w:r>
              <w:rPr>
                <w:rFonts w:hint="eastAsia" w:ascii="宋体" w:cs="微软雅黑"/>
                <w:kern w:val="0"/>
                <w:szCs w:val="21"/>
              </w:rPr>
              <w:t>应支持与学校统一身份认证系统、数据中台、短信平台等公共系统集成，必须免费开放数据接口并提供技术支持</w:t>
            </w:r>
          </w:p>
        </w:tc>
        <w:tc>
          <w:tcPr>
            <w:tcW w:w="708" w:type="dxa"/>
            <w:vAlign w:val="center"/>
          </w:tcPr>
          <w:p w14:paraId="24E9F127">
            <w:pPr>
              <w:widowControl/>
              <w:adjustRightInd w:val="0"/>
              <w:spacing w:line="360" w:lineRule="auto"/>
              <w:jc w:val="center"/>
              <w:rPr>
                <w:rFonts w:ascii="宋体" w:cs="微软雅黑"/>
                <w:kern w:val="0"/>
                <w:szCs w:val="21"/>
              </w:rPr>
            </w:pPr>
            <w:r>
              <w:rPr>
                <w:rFonts w:hint="eastAsia" w:ascii="宋体" w:cs="微软雅黑"/>
                <w:kern w:val="0"/>
                <w:szCs w:val="21"/>
              </w:rPr>
              <w:t>1</w:t>
            </w:r>
          </w:p>
        </w:tc>
        <w:tc>
          <w:tcPr>
            <w:tcW w:w="709" w:type="dxa"/>
            <w:vAlign w:val="center"/>
          </w:tcPr>
          <w:p w14:paraId="3DD52322">
            <w:pPr>
              <w:widowControl/>
              <w:adjustRightInd w:val="0"/>
              <w:spacing w:line="360" w:lineRule="auto"/>
              <w:jc w:val="center"/>
              <w:rPr>
                <w:rFonts w:ascii="宋体" w:cs="微软雅黑"/>
                <w:kern w:val="0"/>
                <w:szCs w:val="21"/>
              </w:rPr>
            </w:pPr>
            <w:r>
              <w:rPr>
                <w:rFonts w:hint="eastAsia" w:ascii="宋体" w:cs="微软雅黑"/>
                <w:kern w:val="0"/>
                <w:szCs w:val="21"/>
              </w:rPr>
              <w:t>套</w:t>
            </w:r>
          </w:p>
        </w:tc>
        <w:tc>
          <w:tcPr>
            <w:tcW w:w="1418" w:type="dxa"/>
            <w:vAlign w:val="center"/>
          </w:tcPr>
          <w:p w14:paraId="34B1B182">
            <w:pPr>
              <w:widowControl/>
              <w:adjustRightInd w:val="0"/>
              <w:spacing w:line="360" w:lineRule="auto"/>
              <w:jc w:val="center"/>
              <w:rPr>
                <w:rFonts w:ascii="宋体" w:cs="微软雅黑"/>
                <w:kern w:val="0"/>
                <w:szCs w:val="21"/>
              </w:rPr>
            </w:pPr>
          </w:p>
        </w:tc>
        <w:tc>
          <w:tcPr>
            <w:tcW w:w="814" w:type="dxa"/>
            <w:noWrap/>
            <w:vAlign w:val="center"/>
          </w:tcPr>
          <w:p w14:paraId="1FF3A01F">
            <w:pPr>
              <w:widowControl/>
              <w:adjustRightInd w:val="0"/>
              <w:spacing w:line="360" w:lineRule="auto"/>
              <w:jc w:val="center"/>
              <w:rPr>
                <w:rFonts w:ascii="宋体" w:cs="微软雅黑"/>
                <w:kern w:val="0"/>
                <w:szCs w:val="21"/>
              </w:rPr>
            </w:pPr>
          </w:p>
        </w:tc>
      </w:tr>
      <w:tr w14:paraId="2737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42" w:type="dxa"/>
            <w:vMerge w:val="continue"/>
            <w:vAlign w:val="center"/>
          </w:tcPr>
          <w:p w14:paraId="65961C43">
            <w:pPr>
              <w:widowControl/>
              <w:adjustRightInd w:val="0"/>
              <w:spacing w:line="360" w:lineRule="auto"/>
              <w:jc w:val="center"/>
              <w:rPr>
                <w:rFonts w:ascii="宋体" w:cs="微软雅黑"/>
                <w:bCs/>
                <w:kern w:val="0"/>
                <w:szCs w:val="21"/>
              </w:rPr>
            </w:pPr>
          </w:p>
        </w:tc>
        <w:tc>
          <w:tcPr>
            <w:tcW w:w="1985" w:type="dxa"/>
            <w:vAlign w:val="center"/>
          </w:tcPr>
          <w:p w14:paraId="4305A14B">
            <w:pPr>
              <w:widowControl/>
              <w:adjustRightInd w:val="0"/>
              <w:spacing w:line="360" w:lineRule="auto"/>
              <w:jc w:val="center"/>
              <w:rPr>
                <w:rFonts w:ascii="宋体" w:cs="微软雅黑"/>
                <w:kern w:val="0"/>
                <w:szCs w:val="21"/>
              </w:rPr>
            </w:pPr>
          </w:p>
        </w:tc>
        <w:tc>
          <w:tcPr>
            <w:tcW w:w="3544" w:type="dxa"/>
            <w:vAlign w:val="center"/>
          </w:tcPr>
          <w:p w14:paraId="532EC479">
            <w:pPr>
              <w:widowControl/>
              <w:adjustRightInd w:val="0"/>
              <w:spacing w:line="360" w:lineRule="auto"/>
              <w:rPr>
                <w:rFonts w:ascii="宋体" w:cs="微软雅黑"/>
                <w:kern w:val="0"/>
                <w:szCs w:val="21"/>
              </w:rPr>
            </w:pPr>
          </w:p>
        </w:tc>
        <w:tc>
          <w:tcPr>
            <w:tcW w:w="708" w:type="dxa"/>
            <w:vAlign w:val="center"/>
          </w:tcPr>
          <w:p w14:paraId="44343C62">
            <w:pPr>
              <w:widowControl/>
              <w:adjustRightInd w:val="0"/>
              <w:spacing w:line="360" w:lineRule="auto"/>
              <w:jc w:val="center"/>
              <w:rPr>
                <w:rFonts w:ascii="宋体" w:cs="微软雅黑"/>
                <w:kern w:val="0"/>
                <w:szCs w:val="21"/>
              </w:rPr>
            </w:pPr>
          </w:p>
        </w:tc>
        <w:tc>
          <w:tcPr>
            <w:tcW w:w="709" w:type="dxa"/>
            <w:vAlign w:val="center"/>
          </w:tcPr>
          <w:p w14:paraId="22FD610E">
            <w:pPr>
              <w:widowControl/>
              <w:adjustRightInd w:val="0"/>
              <w:spacing w:line="360" w:lineRule="auto"/>
              <w:jc w:val="center"/>
              <w:rPr>
                <w:rFonts w:ascii="宋体" w:cs="微软雅黑"/>
                <w:kern w:val="0"/>
                <w:szCs w:val="21"/>
              </w:rPr>
            </w:pPr>
          </w:p>
        </w:tc>
        <w:tc>
          <w:tcPr>
            <w:tcW w:w="1418" w:type="dxa"/>
            <w:vAlign w:val="center"/>
          </w:tcPr>
          <w:p w14:paraId="6D812DAD">
            <w:pPr>
              <w:widowControl/>
              <w:adjustRightInd w:val="0"/>
              <w:spacing w:line="360" w:lineRule="auto"/>
              <w:jc w:val="center"/>
              <w:rPr>
                <w:rFonts w:ascii="宋体" w:cs="微软雅黑"/>
                <w:kern w:val="0"/>
                <w:szCs w:val="21"/>
              </w:rPr>
            </w:pPr>
          </w:p>
        </w:tc>
        <w:tc>
          <w:tcPr>
            <w:tcW w:w="814" w:type="dxa"/>
            <w:noWrap/>
            <w:vAlign w:val="center"/>
          </w:tcPr>
          <w:p w14:paraId="0FC22CA7">
            <w:pPr>
              <w:widowControl/>
              <w:adjustRightInd w:val="0"/>
              <w:spacing w:line="360" w:lineRule="auto"/>
              <w:jc w:val="center"/>
              <w:rPr>
                <w:rFonts w:ascii="宋体" w:cs="微软雅黑"/>
                <w:kern w:val="0"/>
                <w:szCs w:val="21"/>
              </w:rPr>
            </w:pPr>
          </w:p>
        </w:tc>
      </w:tr>
      <w:tr w14:paraId="51AA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8" w:type="dxa"/>
            <w:gridSpan w:val="5"/>
            <w:vAlign w:val="center"/>
          </w:tcPr>
          <w:p w14:paraId="193CD077">
            <w:pPr>
              <w:widowControl/>
              <w:adjustRightInd w:val="0"/>
              <w:spacing w:line="360" w:lineRule="auto"/>
              <w:jc w:val="center"/>
              <w:rPr>
                <w:rFonts w:ascii="宋体" w:cs="微软雅黑"/>
                <w:kern w:val="0"/>
                <w:szCs w:val="21"/>
              </w:rPr>
            </w:pPr>
            <w:r>
              <w:rPr>
                <w:rFonts w:hint="eastAsia" w:ascii="宋体" w:cs="微软雅黑"/>
                <w:kern w:val="0"/>
                <w:szCs w:val="21"/>
              </w:rPr>
              <w:t>小计</w:t>
            </w:r>
          </w:p>
        </w:tc>
        <w:tc>
          <w:tcPr>
            <w:tcW w:w="1418" w:type="dxa"/>
            <w:vAlign w:val="center"/>
          </w:tcPr>
          <w:p w14:paraId="4D161C4D">
            <w:pPr>
              <w:widowControl/>
              <w:adjustRightInd w:val="0"/>
              <w:spacing w:line="360" w:lineRule="auto"/>
              <w:jc w:val="center"/>
              <w:rPr>
                <w:rFonts w:ascii="宋体" w:cs="微软雅黑"/>
                <w:kern w:val="0"/>
                <w:szCs w:val="21"/>
              </w:rPr>
            </w:pPr>
          </w:p>
        </w:tc>
        <w:tc>
          <w:tcPr>
            <w:tcW w:w="814" w:type="dxa"/>
            <w:noWrap/>
            <w:vAlign w:val="center"/>
          </w:tcPr>
          <w:p w14:paraId="6448A337">
            <w:pPr>
              <w:widowControl/>
              <w:adjustRightInd w:val="0"/>
              <w:spacing w:line="360" w:lineRule="auto"/>
              <w:jc w:val="center"/>
              <w:rPr>
                <w:rFonts w:ascii="宋体" w:cs="微软雅黑"/>
                <w:kern w:val="0"/>
                <w:szCs w:val="21"/>
              </w:rPr>
            </w:pPr>
          </w:p>
        </w:tc>
      </w:tr>
      <w:tr w14:paraId="5879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188" w:type="dxa"/>
            <w:gridSpan w:val="5"/>
            <w:noWrap/>
            <w:vAlign w:val="center"/>
          </w:tcPr>
          <w:p w14:paraId="11DA96BF">
            <w:pPr>
              <w:widowControl/>
              <w:adjustRightInd w:val="0"/>
              <w:spacing w:line="360" w:lineRule="auto"/>
              <w:jc w:val="center"/>
              <w:rPr>
                <w:rFonts w:ascii="宋体" w:cs="微软雅黑"/>
                <w:bCs/>
                <w:kern w:val="0"/>
                <w:szCs w:val="21"/>
              </w:rPr>
            </w:pPr>
            <w:r>
              <w:rPr>
                <w:rFonts w:ascii="宋体" w:cs="微软雅黑"/>
                <w:bCs/>
                <w:kern w:val="0"/>
                <w:szCs w:val="21"/>
              </w:rPr>
              <w:t>合</w:t>
            </w:r>
            <w:r>
              <w:rPr>
                <w:rFonts w:hint="eastAsia" w:ascii="宋体" w:cs="微软雅黑"/>
                <w:bCs/>
                <w:kern w:val="0"/>
                <w:szCs w:val="21"/>
              </w:rPr>
              <w:t xml:space="preserve">  </w:t>
            </w:r>
            <w:r>
              <w:rPr>
                <w:rFonts w:ascii="宋体" w:cs="微软雅黑"/>
                <w:bCs/>
                <w:kern w:val="0"/>
                <w:szCs w:val="21"/>
              </w:rPr>
              <w:t>计</w:t>
            </w:r>
          </w:p>
        </w:tc>
        <w:tc>
          <w:tcPr>
            <w:tcW w:w="1418" w:type="dxa"/>
            <w:noWrap/>
            <w:vAlign w:val="center"/>
          </w:tcPr>
          <w:p w14:paraId="09D5D822">
            <w:pPr>
              <w:widowControl/>
              <w:adjustRightInd w:val="0"/>
              <w:spacing w:line="360" w:lineRule="auto"/>
              <w:jc w:val="center"/>
              <w:rPr>
                <w:rFonts w:ascii="宋体" w:cs="微软雅黑"/>
                <w:bCs/>
                <w:kern w:val="0"/>
                <w:szCs w:val="21"/>
              </w:rPr>
            </w:pPr>
          </w:p>
        </w:tc>
        <w:tc>
          <w:tcPr>
            <w:tcW w:w="814" w:type="dxa"/>
            <w:vAlign w:val="center"/>
          </w:tcPr>
          <w:p w14:paraId="6BD15369">
            <w:pPr>
              <w:widowControl/>
              <w:adjustRightInd w:val="0"/>
              <w:spacing w:line="360" w:lineRule="auto"/>
              <w:jc w:val="center"/>
              <w:rPr>
                <w:rFonts w:ascii="宋体" w:cs="微软雅黑"/>
                <w:kern w:val="0"/>
                <w:szCs w:val="21"/>
              </w:rPr>
            </w:pPr>
          </w:p>
        </w:tc>
      </w:tr>
    </w:tbl>
    <w:p w14:paraId="7844BEEA">
      <w:pPr>
        <w:widowControl/>
        <w:adjustRightInd w:val="0"/>
        <w:spacing w:line="420" w:lineRule="auto"/>
        <w:jc w:val="left"/>
        <w:rPr>
          <w:rFonts w:ascii="宋体" w:hAnsi="宋体"/>
          <w:sz w:val="24"/>
          <w:szCs w:val="24"/>
        </w:rPr>
      </w:pPr>
      <w:r>
        <w:rPr>
          <w:rFonts w:hint="eastAsia" w:ascii="宋体" w:hAnsi="宋体"/>
          <w:sz w:val="24"/>
          <w:szCs w:val="24"/>
        </w:rPr>
        <w:t>注：1、如果投标人认为与第三方对接项目不够，请自行增加。</w:t>
      </w:r>
    </w:p>
    <w:p w14:paraId="517B03EA">
      <w:pPr>
        <w:widowControl/>
        <w:adjustRightInd w:val="0"/>
        <w:spacing w:line="420" w:lineRule="auto"/>
        <w:jc w:val="left"/>
        <w:rPr>
          <w:rFonts w:ascii="宋体"/>
          <w:sz w:val="24"/>
          <w:szCs w:val="24"/>
        </w:rPr>
      </w:pPr>
      <w:r>
        <w:rPr>
          <w:rFonts w:hint="eastAsia" w:ascii="宋体" w:hAnsi="宋体"/>
          <w:sz w:val="24"/>
          <w:szCs w:val="24"/>
        </w:rPr>
        <w:t xml:space="preserve">    2、如系统对接不需要费用或投标方自愿承担填写0;</w:t>
      </w:r>
    </w:p>
    <w:p w14:paraId="3524B794">
      <w:pPr>
        <w:widowControl/>
        <w:adjustRightInd w:val="0"/>
        <w:spacing w:line="360" w:lineRule="auto"/>
        <w:jc w:val="left"/>
        <w:rPr>
          <w:rFonts w:ascii="宋体" w:cs="微软雅黑"/>
          <w:b/>
          <w:kern w:val="0"/>
          <w:szCs w:val="21"/>
        </w:rPr>
      </w:pPr>
    </w:p>
    <w:p w14:paraId="291B6295">
      <w:pPr>
        <w:widowControl/>
        <w:adjustRightInd w:val="0"/>
        <w:spacing w:line="360" w:lineRule="auto"/>
        <w:jc w:val="left"/>
        <w:rPr>
          <w:rFonts w:ascii="宋体" w:cs="微软雅黑"/>
          <w:b/>
          <w:kern w:val="0"/>
          <w:szCs w:val="21"/>
        </w:rPr>
      </w:pPr>
    </w:p>
    <w:p w14:paraId="004AA0FA">
      <w:pPr>
        <w:widowControl/>
        <w:adjustRightInd w:val="0"/>
        <w:spacing w:line="360" w:lineRule="auto"/>
        <w:jc w:val="left"/>
        <w:rPr>
          <w:rFonts w:ascii="宋体" w:cs="微软雅黑"/>
          <w:b/>
          <w:kern w:val="0"/>
          <w:szCs w:val="21"/>
        </w:rPr>
      </w:pPr>
    </w:p>
    <w:p w14:paraId="049C65F2">
      <w:pPr>
        <w:spacing w:line="440" w:lineRule="exact"/>
        <w:ind w:firstLine="420" w:firstLineChars="200"/>
        <w:jc w:val="right"/>
        <w:rPr>
          <w:rFonts w:ascii="Arial" w:hAnsi="Arial"/>
          <w:szCs w:val="21"/>
        </w:rPr>
      </w:pPr>
      <w:r>
        <w:rPr>
          <w:rFonts w:hint="eastAsia" w:ascii="Arial" w:hAnsi="Arial"/>
          <w:szCs w:val="21"/>
        </w:rPr>
        <w:t>供应商名称（公章）：</w:t>
      </w:r>
    </w:p>
    <w:p w14:paraId="7EFFB9EB">
      <w:pPr>
        <w:spacing w:line="440" w:lineRule="exact"/>
        <w:ind w:firstLine="420" w:firstLineChars="200"/>
        <w:jc w:val="right"/>
        <w:rPr>
          <w:rFonts w:ascii="Arial" w:hAnsi="Arial"/>
          <w:szCs w:val="21"/>
          <w:u w:val="single"/>
        </w:rPr>
      </w:pPr>
      <w:r>
        <w:rPr>
          <w:rFonts w:hint="eastAsia" w:ascii="Arial" w:hAnsi="Arial"/>
          <w:szCs w:val="21"/>
        </w:rPr>
        <w:t>供应商授权代表姓名（签字或签章）：</w:t>
      </w:r>
    </w:p>
    <w:p w14:paraId="338C77BD">
      <w:pPr>
        <w:spacing w:line="440" w:lineRule="exact"/>
        <w:jc w:val="right"/>
        <w:rPr>
          <w:rFonts w:ascii="Calibri" w:hAnsi="Calibri"/>
          <w:szCs w:val="22"/>
        </w:rPr>
      </w:pPr>
      <w:r>
        <w:rPr>
          <w:rFonts w:hint="eastAsia" w:ascii="Arial" w:hAnsi="Arial"/>
          <w:szCs w:val="21"/>
        </w:rPr>
        <w:t>日期：  年  月  日</w:t>
      </w:r>
    </w:p>
    <w:p w14:paraId="53AA2EFE">
      <w:pPr>
        <w:widowControl/>
        <w:adjustRightInd w:val="0"/>
        <w:spacing w:line="360" w:lineRule="auto"/>
        <w:jc w:val="left"/>
        <w:rPr>
          <w:rFonts w:ascii="宋体" w:cs="微软雅黑"/>
          <w:b/>
          <w:kern w:val="0"/>
          <w:szCs w:val="21"/>
        </w:rPr>
      </w:pPr>
    </w:p>
    <w:bookmarkEnd w:id="129"/>
    <w:bookmarkEnd w:id="130"/>
    <w:bookmarkEnd w:id="131"/>
    <w:bookmarkEnd w:id="132"/>
    <w:bookmarkEnd w:id="133"/>
    <w:bookmarkEnd w:id="134"/>
    <w:bookmarkEnd w:id="135"/>
    <w:bookmarkEnd w:id="136"/>
    <w:bookmarkEnd w:id="137"/>
    <w:p w14:paraId="5B6C5A07">
      <w:pPr>
        <w:pageBreakBefore/>
        <w:autoSpaceDE w:val="0"/>
        <w:autoSpaceDN w:val="0"/>
        <w:adjustRightInd w:val="0"/>
        <w:spacing w:line="360" w:lineRule="auto"/>
        <w:jc w:val="center"/>
        <w:outlineLvl w:val="1"/>
        <w:rPr>
          <w:rFonts w:ascii="宋体" w:hAnsi="宋体" w:cs="微软雅黑"/>
          <w:b/>
          <w:bCs/>
          <w:sz w:val="32"/>
          <w:szCs w:val="32"/>
          <w:lang w:val="zh-CN"/>
        </w:rPr>
      </w:pPr>
      <w:r>
        <w:rPr>
          <w:rFonts w:hint="eastAsia" w:ascii="宋体" w:hAnsi="宋体" w:cs="微软雅黑"/>
          <w:b/>
          <w:bCs/>
          <w:sz w:val="32"/>
          <w:szCs w:val="32"/>
          <w:lang w:val="zh-CN"/>
        </w:rPr>
        <w:t>附件四、资格证明文件</w:t>
      </w:r>
    </w:p>
    <w:p w14:paraId="66C69EF9">
      <w:pPr>
        <w:autoSpaceDE w:val="0"/>
        <w:autoSpaceDN w:val="0"/>
        <w:adjustRightInd w:val="0"/>
        <w:spacing w:line="360" w:lineRule="auto"/>
        <w:jc w:val="center"/>
        <w:rPr>
          <w:rFonts w:ascii="宋体" w:hAnsi="宋体" w:cs="宋体"/>
          <w:sz w:val="24"/>
          <w:szCs w:val="24"/>
        </w:rPr>
      </w:pPr>
      <w:bookmarkStart w:id="138" w:name="_Toc482980327"/>
      <w:r>
        <w:rPr>
          <w:rFonts w:ascii="宋体" w:hAnsi="宋体" w:cs="宋体"/>
          <w:sz w:val="24"/>
          <w:szCs w:val="24"/>
        </w:rPr>
        <w:t>按竞争性磋商公告要求提供</w:t>
      </w:r>
    </w:p>
    <w:p w14:paraId="6CCDADE4">
      <w:pPr>
        <w:autoSpaceDE w:val="0"/>
        <w:autoSpaceDN w:val="0"/>
        <w:adjustRightInd w:val="0"/>
        <w:spacing w:line="360" w:lineRule="auto"/>
        <w:jc w:val="center"/>
        <w:rPr>
          <w:rFonts w:ascii="宋体" w:hAnsi="宋体" w:cs="宋体"/>
          <w:sz w:val="24"/>
          <w:szCs w:val="24"/>
        </w:rPr>
      </w:pPr>
    </w:p>
    <w:p w14:paraId="2994F233">
      <w:pPr>
        <w:autoSpaceDE w:val="0"/>
        <w:autoSpaceDN w:val="0"/>
        <w:adjustRightInd w:val="0"/>
        <w:spacing w:line="360" w:lineRule="auto"/>
        <w:jc w:val="center"/>
        <w:rPr>
          <w:b/>
          <w:sz w:val="24"/>
          <w:szCs w:val="24"/>
        </w:rPr>
      </w:pPr>
      <w:r>
        <w:rPr>
          <w:rFonts w:hint="eastAsia"/>
          <w:b/>
          <w:sz w:val="24"/>
          <w:szCs w:val="24"/>
        </w:rPr>
        <w:t>资审承诺书</w:t>
      </w:r>
    </w:p>
    <w:p w14:paraId="521C576F">
      <w:pPr>
        <w:pStyle w:val="428"/>
        <w:spacing w:before="0" w:after="0" w:line="360" w:lineRule="auto"/>
        <w:ind w:left="0" w:firstLine="0"/>
        <w:jc w:val="both"/>
        <w:rPr>
          <w:rFonts w:hAnsi="宋体" w:cs="宋体"/>
          <w:sz w:val="24"/>
          <w:szCs w:val="24"/>
        </w:rPr>
      </w:pPr>
      <w:r>
        <w:rPr>
          <w:rFonts w:hint="eastAsia" w:hAnsi="宋体" w:cs="宋体"/>
          <w:sz w:val="24"/>
          <w:szCs w:val="24"/>
        </w:rPr>
        <w:t>南京审计大学金审学院：</w:t>
      </w:r>
    </w:p>
    <w:p w14:paraId="24530D0D">
      <w:pPr>
        <w:spacing w:line="360" w:lineRule="auto"/>
        <w:rPr>
          <w:rFonts w:ascii="宋体" w:cs="宋体"/>
          <w:sz w:val="24"/>
          <w:szCs w:val="24"/>
        </w:rPr>
      </w:pPr>
    </w:p>
    <w:p w14:paraId="21286964">
      <w:pPr>
        <w:spacing w:line="360" w:lineRule="auto"/>
        <w:ind w:firstLine="480" w:firstLineChars="200"/>
        <w:rPr>
          <w:rFonts w:ascii="宋体" w:cs="宋体"/>
          <w:sz w:val="24"/>
          <w:szCs w:val="24"/>
        </w:rPr>
      </w:pPr>
      <w:r>
        <w:rPr>
          <w:rFonts w:hint="eastAsia" w:ascii="宋体" w:hAnsi="宋体" w:cs="宋体"/>
          <w:sz w:val="24"/>
          <w:szCs w:val="24"/>
        </w:rPr>
        <w:t>本单位</w:t>
      </w:r>
      <w:r>
        <w:rPr>
          <w:rFonts w:hint="eastAsia" w:ascii="宋体" w:hAnsi="宋体" w:cs="宋体"/>
          <w:sz w:val="24"/>
          <w:szCs w:val="24"/>
          <w:u w:val="single"/>
        </w:rPr>
        <w:t>（公司名称）</w:t>
      </w:r>
      <w:r>
        <w:rPr>
          <w:rFonts w:ascii="宋体" w:hAnsi="宋体" w:cs="宋体"/>
          <w:sz w:val="24"/>
          <w:szCs w:val="24"/>
          <w:u w:val="single"/>
        </w:rPr>
        <w:t xml:space="preserve"> </w:t>
      </w:r>
      <w:r>
        <w:rPr>
          <w:rFonts w:hint="eastAsia" w:ascii="宋体" w:hAnsi="宋体" w:cs="宋体"/>
          <w:sz w:val="24"/>
          <w:szCs w:val="24"/>
        </w:rPr>
        <w:t>郑重承诺对于</w:t>
      </w:r>
      <w:r>
        <w:rPr>
          <w:rFonts w:ascii="宋体" w:hAnsi="宋体" w:cs="宋体"/>
          <w:sz w:val="24"/>
          <w:szCs w:val="24"/>
          <w:u w:val="single"/>
        </w:rPr>
        <w:t xml:space="preserve"> </w:t>
      </w:r>
      <w:r>
        <w:rPr>
          <w:rFonts w:hint="eastAsia" w:ascii="宋体" w:hAnsi="宋体" w:cs="宋体"/>
          <w:sz w:val="24"/>
          <w:szCs w:val="24"/>
          <w:u w:val="single"/>
        </w:rPr>
        <w:t>（项目名称）</w:t>
      </w:r>
      <w:r>
        <w:rPr>
          <w:rFonts w:ascii="宋体" w:hAnsi="宋体" w:cs="宋体"/>
          <w:sz w:val="24"/>
          <w:szCs w:val="24"/>
          <w:u w:val="single"/>
        </w:rPr>
        <w:t xml:space="preserve"> </w:t>
      </w:r>
      <w:r>
        <w:rPr>
          <w:rFonts w:hint="eastAsia" w:ascii="宋体" w:hAnsi="宋体" w:cs="宋体"/>
          <w:sz w:val="24"/>
          <w:szCs w:val="24"/>
        </w:rPr>
        <w:t>采购活动，做如下承诺书：</w:t>
      </w:r>
    </w:p>
    <w:p w14:paraId="265FE79D">
      <w:pPr>
        <w:spacing w:line="360" w:lineRule="auto"/>
        <w:ind w:firstLine="480" w:firstLineChars="200"/>
        <w:rPr>
          <w:rFonts w:ascii="宋体" w:hAnsi="宋体" w:cs="宋体"/>
          <w:sz w:val="24"/>
          <w:szCs w:val="24"/>
        </w:rPr>
      </w:pPr>
      <w:r>
        <w:rPr>
          <w:rFonts w:hint="eastAsia" w:ascii="宋体" w:hAnsi="宋体" w:cs="宋体"/>
          <w:sz w:val="24"/>
          <w:szCs w:val="24"/>
        </w:rPr>
        <w:t>1、所提供的资料无失实内容和无弄虚作假内容。</w:t>
      </w:r>
    </w:p>
    <w:p w14:paraId="4845340C">
      <w:pPr>
        <w:spacing w:line="360" w:lineRule="auto"/>
        <w:ind w:firstLine="480" w:firstLineChars="200"/>
        <w:rPr>
          <w:rFonts w:ascii="宋体" w:hAnsi="宋体" w:cs="宋体"/>
          <w:sz w:val="24"/>
          <w:szCs w:val="24"/>
        </w:rPr>
      </w:pPr>
      <w:r>
        <w:rPr>
          <w:rFonts w:hint="eastAsia" w:ascii="宋体" w:hAnsi="宋体" w:cs="宋体"/>
          <w:sz w:val="24"/>
          <w:szCs w:val="24"/>
        </w:rPr>
        <w:t>2、未处于被责令停业、投标资格被取消或者财产被接管、冻结和破产状态的声明。</w:t>
      </w:r>
    </w:p>
    <w:p w14:paraId="21EA8B2D">
      <w:pPr>
        <w:spacing w:line="360" w:lineRule="auto"/>
        <w:ind w:firstLine="480" w:firstLineChars="200"/>
        <w:rPr>
          <w:rFonts w:ascii="宋体" w:hAnsi="宋体" w:cs="宋体"/>
          <w:sz w:val="24"/>
          <w:szCs w:val="24"/>
        </w:rPr>
      </w:pPr>
      <w:r>
        <w:rPr>
          <w:rFonts w:hint="eastAsia" w:ascii="宋体" w:hAnsi="宋体" w:cs="宋体"/>
          <w:sz w:val="24"/>
          <w:szCs w:val="24"/>
        </w:rPr>
        <w:t>3、没有因骗取中标或者严重违约以及发生重大工程质量、安全生产事故等问题，被有关部门暂停投标资格并在暂停期内。</w:t>
      </w:r>
    </w:p>
    <w:p w14:paraId="3DE9F685">
      <w:pPr>
        <w:spacing w:line="360" w:lineRule="auto"/>
        <w:ind w:firstLine="480" w:firstLineChars="200"/>
        <w:rPr>
          <w:rFonts w:ascii="宋体" w:hAnsi="宋体" w:cs="宋体"/>
          <w:sz w:val="24"/>
          <w:szCs w:val="24"/>
        </w:rPr>
      </w:pPr>
      <w:r>
        <w:rPr>
          <w:rFonts w:hint="eastAsia" w:ascii="宋体" w:hAnsi="宋体" w:cs="宋体"/>
          <w:sz w:val="24"/>
          <w:szCs w:val="24"/>
        </w:rPr>
        <w:t>4、没有违反法律、法规行为，依法被取消资格且期限未满的。</w:t>
      </w:r>
    </w:p>
    <w:p w14:paraId="53A3167F">
      <w:pPr>
        <w:spacing w:line="360" w:lineRule="auto"/>
        <w:ind w:firstLine="480" w:firstLineChars="200"/>
        <w:rPr>
          <w:rFonts w:ascii="宋体" w:hAnsi="宋体" w:cs="宋体"/>
          <w:sz w:val="24"/>
          <w:szCs w:val="24"/>
        </w:rPr>
      </w:pPr>
      <w:r>
        <w:rPr>
          <w:rFonts w:hint="eastAsia" w:ascii="宋体" w:hAnsi="宋体" w:cs="宋体"/>
          <w:sz w:val="24"/>
          <w:szCs w:val="24"/>
        </w:rPr>
        <w:t>5、近三年内没有因招投标活动中有违法违规和不良行为，被有关招投标行政监督部门公示且公示期未满的。</w:t>
      </w:r>
    </w:p>
    <w:p w14:paraId="32A2D93C">
      <w:pPr>
        <w:spacing w:line="360" w:lineRule="auto"/>
        <w:ind w:firstLine="480" w:firstLineChars="200"/>
        <w:rPr>
          <w:rFonts w:ascii="宋体" w:hAnsi="宋体" w:cs="宋体"/>
          <w:sz w:val="24"/>
          <w:szCs w:val="24"/>
        </w:rPr>
      </w:pPr>
      <w:r>
        <w:rPr>
          <w:rFonts w:hint="eastAsia" w:ascii="宋体" w:hAnsi="宋体" w:cs="宋体"/>
          <w:sz w:val="24"/>
          <w:szCs w:val="24"/>
        </w:rPr>
        <w:t>6、企业无下列行为：</w:t>
      </w:r>
    </w:p>
    <w:p w14:paraId="2C749722">
      <w:pPr>
        <w:spacing w:line="360" w:lineRule="auto"/>
        <w:ind w:firstLine="480" w:firstLineChars="200"/>
        <w:rPr>
          <w:rFonts w:ascii="宋体" w:hAnsi="宋体" w:cs="宋体"/>
          <w:sz w:val="24"/>
          <w:szCs w:val="24"/>
        </w:rPr>
      </w:pPr>
      <w:r>
        <w:rPr>
          <w:rFonts w:hint="eastAsia" w:ascii="宋体" w:hAnsi="宋体" w:cs="宋体"/>
          <w:sz w:val="24"/>
          <w:szCs w:val="24"/>
        </w:rPr>
        <w:t>a.为招标人不具有独立法人资格的附属机构（单位）；</w:t>
      </w:r>
    </w:p>
    <w:p w14:paraId="0FD6C002">
      <w:pPr>
        <w:spacing w:line="360" w:lineRule="auto"/>
        <w:ind w:firstLine="480" w:firstLineChars="200"/>
        <w:rPr>
          <w:rFonts w:ascii="宋体" w:hAnsi="宋体" w:cs="宋体"/>
          <w:sz w:val="24"/>
          <w:szCs w:val="24"/>
        </w:rPr>
      </w:pPr>
      <w:r>
        <w:rPr>
          <w:rFonts w:hint="eastAsia" w:ascii="宋体" w:hAnsi="宋体" w:cs="宋体"/>
          <w:sz w:val="24"/>
          <w:szCs w:val="24"/>
        </w:rPr>
        <w:t>b.</w:t>
      </w:r>
      <w:bookmarkStart w:id="139" w:name="OLE_LINK57"/>
      <w:bookmarkStart w:id="140" w:name="OLE_LINK56"/>
      <w:r>
        <w:rPr>
          <w:rFonts w:hint="eastAsia" w:ascii="宋体" w:hAnsi="宋体" w:cs="宋体"/>
          <w:sz w:val="24"/>
          <w:szCs w:val="24"/>
        </w:rPr>
        <w:t>为</w:t>
      </w:r>
      <w:bookmarkEnd w:id="139"/>
      <w:bookmarkEnd w:id="140"/>
      <w:r>
        <w:rPr>
          <w:rFonts w:hint="eastAsia" w:ascii="宋体" w:hAnsi="宋体" w:cs="宋体"/>
          <w:sz w:val="24"/>
          <w:szCs w:val="24"/>
        </w:rPr>
        <w:t>投标人单位负责人为同一人或者存在直接控股、管理关系的不同投标人，不得参加同一标包应答或者未划分标包的同一采购项目应答的；</w:t>
      </w:r>
    </w:p>
    <w:p w14:paraId="3C90B93C">
      <w:pPr>
        <w:spacing w:line="360" w:lineRule="auto"/>
        <w:ind w:firstLine="480" w:firstLineChars="200"/>
        <w:rPr>
          <w:rFonts w:ascii="宋体" w:hAnsi="宋体" w:cs="宋体"/>
          <w:sz w:val="24"/>
          <w:szCs w:val="24"/>
        </w:rPr>
      </w:pPr>
      <w:r>
        <w:rPr>
          <w:rFonts w:hint="eastAsia" w:ascii="宋体" w:hAnsi="宋体" w:cs="宋体"/>
          <w:sz w:val="24"/>
          <w:szCs w:val="24"/>
        </w:rPr>
        <w:t>c.为投标人在“信用中国”网站（http://www.creditchina.gov.cn/）中被列入失信被执行人名单，不得参加投标的；</w:t>
      </w:r>
    </w:p>
    <w:p w14:paraId="171F0898">
      <w:pPr>
        <w:spacing w:line="360" w:lineRule="auto"/>
        <w:ind w:firstLine="480" w:firstLineChars="200"/>
        <w:rPr>
          <w:rFonts w:ascii="宋体" w:hAnsi="宋体" w:cs="宋体"/>
          <w:sz w:val="24"/>
          <w:szCs w:val="24"/>
        </w:rPr>
      </w:pPr>
      <w:r>
        <w:rPr>
          <w:rFonts w:hint="eastAsia" w:ascii="宋体" w:hAnsi="宋体" w:cs="宋体"/>
          <w:sz w:val="24"/>
          <w:szCs w:val="24"/>
        </w:rPr>
        <w:t>d.与招标人存在利害关系可能影响招标公正性的；</w:t>
      </w:r>
    </w:p>
    <w:p w14:paraId="434C79C2">
      <w:pPr>
        <w:spacing w:line="360" w:lineRule="auto"/>
        <w:ind w:firstLine="480" w:firstLineChars="200"/>
        <w:rPr>
          <w:rFonts w:ascii="宋体" w:hAnsi="宋体" w:cs="宋体"/>
          <w:sz w:val="24"/>
          <w:szCs w:val="24"/>
        </w:rPr>
      </w:pPr>
      <w:r>
        <w:rPr>
          <w:rFonts w:hint="eastAsia" w:ascii="宋体" w:hAnsi="宋体" w:cs="宋体"/>
          <w:sz w:val="24"/>
          <w:szCs w:val="24"/>
        </w:rPr>
        <w:t>e.处于被责令停业、财产被接管、冻结和破产状态，以及投标资格被取消或者被暂停且在暂停期内；</w:t>
      </w:r>
    </w:p>
    <w:p w14:paraId="67E7E7D5">
      <w:pPr>
        <w:spacing w:line="360" w:lineRule="auto"/>
        <w:ind w:firstLine="480" w:firstLineChars="200"/>
        <w:rPr>
          <w:rFonts w:ascii="宋体" w:hAnsi="宋体" w:cs="宋体"/>
          <w:sz w:val="24"/>
          <w:szCs w:val="24"/>
        </w:rPr>
      </w:pPr>
      <w:r>
        <w:rPr>
          <w:rFonts w:hint="eastAsia" w:ascii="宋体" w:hAnsi="宋体" w:cs="宋体"/>
          <w:sz w:val="24"/>
          <w:szCs w:val="24"/>
        </w:rPr>
        <w:t>f.因拖欠工人工资或者因发生质量安全事故被有关部门限制在招标项目所在地承接项目的；</w:t>
      </w:r>
    </w:p>
    <w:p w14:paraId="46B5C6D9">
      <w:pPr>
        <w:spacing w:line="360" w:lineRule="auto"/>
        <w:ind w:firstLine="480" w:firstLineChars="200"/>
        <w:rPr>
          <w:rFonts w:ascii="宋体" w:hAnsi="宋体" w:cs="宋体"/>
          <w:sz w:val="24"/>
          <w:szCs w:val="24"/>
        </w:rPr>
      </w:pPr>
      <w:r>
        <w:rPr>
          <w:rFonts w:hint="eastAsia" w:ascii="宋体" w:hAnsi="宋体" w:cs="宋体"/>
          <w:sz w:val="24"/>
          <w:szCs w:val="24"/>
        </w:rPr>
        <w:t>g.投标人近3年内有行贿犯罪行为且被记录，或者法定代表人有行贿犯罪记录且自记录之日起未超过5年的。</w:t>
      </w:r>
    </w:p>
    <w:p w14:paraId="7F593EC9">
      <w:pPr>
        <w:spacing w:line="360" w:lineRule="auto"/>
        <w:ind w:firstLine="480" w:firstLineChars="200"/>
        <w:rPr>
          <w:rFonts w:ascii="宋体" w:hAnsi="宋体" w:cs="宋体"/>
          <w:sz w:val="24"/>
          <w:szCs w:val="24"/>
        </w:rPr>
      </w:pPr>
      <w:r>
        <w:rPr>
          <w:rFonts w:hint="eastAsia" w:ascii="宋体" w:hAnsi="宋体" w:cs="宋体"/>
          <w:sz w:val="24"/>
          <w:szCs w:val="24"/>
        </w:rPr>
        <w:t>7、我单位未采用联合体投标。</w:t>
      </w:r>
    </w:p>
    <w:p w14:paraId="1DCAAEF7">
      <w:pPr>
        <w:spacing w:line="360" w:lineRule="auto"/>
        <w:ind w:firstLine="480" w:firstLineChars="200"/>
        <w:rPr>
          <w:rFonts w:ascii="宋体" w:cs="宋体"/>
          <w:sz w:val="24"/>
          <w:szCs w:val="24"/>
        </w:rPr>
      </w:pPr>
      <w:r>
        <w:rPr>
          <w:rFonts w:hint="eastAsia" w:ascii="宋体" w:hAnsi="宋体" w:cs="宋体"/>
          <w:sz w:val="24"/>
          <w:szCs w:val="24"/>
        </w:rPr>
        <w:t>若经招标人（或招标代理）核实，发现所报内容失实或有任何弄虚作假行为，我公司愿自动放弃此次投标。若因此给此次招标工作带来不良影响，我公司将自愿承担所有责任。</w:t>
      </w:r>
    </w:p>
    <w:p w14:paraId="03A6FCA5">
      <w:pPr>
        <w:spacing w:line="360" w:lineRule="auto"/>
        <w:ind w:firstLine="480" w:firstLineChars="200"/>
        <w:rPr>
          <w:rFonts w:ascii="宋体" w:cs="宋体"/>
          <w:sz w:val="24"/>
          <w:szCs w:val="24"/>
        </w:rPr>
      </w:pPr>
    </w:p>
    <w:p w14:paraId="38370149">
      <w:pPr>
        <w:spacing w:line="360" w:lineRule="auto"/>
        <w:jc w:val="right"/>
        <w:rPr>
          <w:rFonts w:ascii="宋体" w:cs="宋体"/>
          <w:sz w:val="24"/>
          <w:szCs w:val="24"/>
        </w:rPr>
      </w:pPr>
      <w:r>
        <w:rPr>
          <w:rFonts w:hint="eastAsia" w:ascii="宋体" w:hAnsi="宋体" w:cs="宋体"/>
          <w:sz w:val="24"/>
          <w:szCs w:val="24"/>
        </w:rPr>
        <w:t>供应商名称（盖章）</w:t>
      </w:r>
    </w:p>
    <w:p w14:paraId="313921F7">
      <w:pPr>
        <w:pStyle w:val="39"/>
        <w:jc w:val="right"/>
      </w:pPr>
      <w:r>
        <w:rPr>
          <w:rFonts w:hint="eastAsia" w:ascii="宋体" w:hAnsi="宋体" w:cs="宋体"/>
          <w:sz w:val="24"/>
          <w:szCs w:val="24"/>
        </w:rPr>
        <w:t>承诺日期：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5D73C6BF">
      <w:pPr>
        <w:pageBreakBefore/>
        <w:autoSpaceDE w:val="0"/>
        <w:autoSpaceDN w:val="0"/>
        <w:adjustRightInd w:val="0"/>
        <w:spacing w:line="360" w:lineRule="auto"/>
        <w:jc w:val="center"/>
        <w:outlineLvl w:val="1"/>
        <w:rPr>
          <w:rFonts w:ascii="宋体" w:hAnsi="宋体" w:cs="微软雅黑"/>
          <w:b/>
          <w:bCs/>
          <w:sz w:val="32"/>
          <w:szCs w:val="32"/>
          <w:lang w:val="zh-CN"/>
        </w:rPr>
      </w:pPr>
      <w:r>
        <w:rPr>
          <w:rFonts w:hint="eastAsia" w:ascii="宋体" w:hAnsi="宋体" w:cs="微软雅黑"/>
          <w:b/>
          <w:bCs/>
          <w:sz w:val="32"/>
          <w:szCs w:val="32"/>
          <w:lang w:val="zh-CN"/>
        </w:rPr>
        <w:t>附件五、</w:t>
      </w:r>
      <w:bookmarkStart w:id="141" w:name="_Toc94108791"/>
      <w:r>
        <w:rPr>
          <w:rFonts w:hint="eastAsia" w:ascii="宋体" w:hAnsi="宋体" w:cs="微软雅黑"/>
          <w:b/>
          <w:bCs/>
          <w:sz w:val="32"/>
          <w:szCs w:val="32"/>
          <w:lang w:val="zh-CN"/>
        </w:rPr>
        <w:t>项目负责人简介表及拟派团队</w:t>
      </w:r>
      <w:r>
        <w:rPr>
          <w:rFonts w:ascii="宋体" w:hAnsi="宋体" w:cs="微软雅黑"/>
          <w:b/>
          <w:bCs/>
          <w:sz w:val="32"/>
          <w:szCs w:val="32"/>
          <w:lang w:val="zh-CN"/>
        </w:rPr>
        <w:t>人员</w:t>
      </w:r>
      <w:r>
        <w:rPr>
          <w:rFonts w:hint="eastAsia" w:ascii="宋体" w:hAnsi="宋体" w:cs="微软雅黑"/>
          <w:b/>
          <w:bCs/>
          <w:sz w:val="32"/>
          <w:szCs w:val="32"/>
          <w:lang w:val="zh-CN"/>
        </w:rPr>
        <w:t>团队配置表</w:t>
      </w:r>
    </w:p>
    <w:bookmarkEnd w:id="141"/>
    <w:p w14:paraId="3D9C6A86">
      <w:pPr>
        <w:autoSpaceDE w:val="0"/>
        <w:autoSpaceDN w:val="0"/>
        <w:adjustRightInd w:val="0"/>
        <w:spacing w:line="360" w:lineRule="auto"/>
        <w:jc w:val="center"/>
        <w:rPr>
          <w:b/>
          <w:sz w:val="24"/>
          <w:szCs w:val="24"/>
        </w:rPr>
      </w:pPr>
      <w:r>
        <w:rPr>
          <w:rFonts w:hint="eastAsia"/>
          <w:b/>
          <w:sz w:val="24"/>
          <w:szCs w:val="24"/>
        </w:rPr>
        <w:t>（一）项目负责人简介表</w:t>
      </w:r>
    </w:p>
    <w:tbl>
      <w:tblPr>
        <w:tblStyle w:val="64"/>
        <w:tblW w:w="0" w:type="auto"/>
        <w:jc w:val="center"/>
        <w:tblLayout w:type="fixed"/>
        <w:tblCellMar>
          <w:top w:w="15" w:type="dxa"/>
          <w:left w:w="15" w:type="dxa"/>
          <w:bottom w:w="15" w:type="dxa"/>
          <w:right w:w="15" w:type="dxa"/>
        </w:tblCellMar>
      </w:tblPr>
      <w:tblGrid>
        <w:gridCol w:w="993"/>
        <w:gridCol w:w="993"/>
        <w:gridCol w:w="1275"/>
        <w:gridCol w:w="1276"/>
        <w:gridCol w:w="1456"/>
        <w:gridCol w:w="780"/>
        <w:gridCol w:w="1024"/>
        <w:gridCol w:w="1808"/>
      </w:tblGrid>
      <w:tr w14:paraId="18CC58A8">
        <w:tblPrEx>
          <w:tblCellMar>
            <w:top w:w="15" w:type="dxa"/>
            <w:left w:w="15" w:type="dxa"/>
            <w:bottom w:w="15" w:type="dxa"/>
            <w:right w:w="15" w:type="dxa"/>
          </w:tblCellMar>
        </w:tblPrEx>
        <w:trPr>
          <w:trHeight w:val="540" w:hRule="atLeast"/>
          <w:jc w:val="center"/>
        </w:trPr>
        <w:tc>
          <w:tcPr>
            <w:tcW w:w="6773" w:type="dxa"/>
            <w:gridSpan w:val="6"/>
            <w:vAlign w:val="center"/>
          </w:tcPr>
          <w:p w14:paraId="34AF680E">
            <w:pPr>
              <w:widowControl/>
              <w:jc w:val="left"/>
              <w:textAlignment w:val="center"/>
              <w:rPr>
                <w:rFonts w:ascii="宋体"/>
                <w:sz w:val="24"/>
                <w:szCs w:val="24"/>
              </w:rPr>
            </w:pPr>
            <w:r>
              <w:rPr>
                <w:rFonts w:hint="eastAsia" w:ascii="宋体" w:hAnsi="宋体"/>
                <w:sz w:val="24"/>
                <w:szCs w:val="24"/>
              </w:rPr>
              <w:t>项目名称：</w:t>
            </w:r>
            <w:r>
              <w:rPr>
                <w:rFonts w:ascii="宋体" w:hAnsi="宋体"/>
                <w:sz w:val="24"/>
                <w:szCs w:val="24"/>
              </w:rPr>
              <w:t xml:space="preserve">                                     </w:t>
            </w:r>
          </w:p>
        </w:tc>
        <w:tc>
          <w:tcPr>
            <w:tcW w:w="2832" w:type="dxa"/>
            <w:gridSpan w:val="2"/>
            <w:vAlign w:val="center"/>
          </w:tcPr>
          <w:p w14:paraId="48379E9A">
            <w:pPr>
              <w:widowControl/>
              <w:jc w:val="left"/>
              <w:textAlignment w:val="center"/>
              <w:rPr>
                <w:rFonts w:ascii="宋体"/>
                <w:sz w:val="24"/>
                <w:szCs w:val="24"/>
              </w:rPr>
            </w:pPr>
            <w:r>
              <w:rPr>
                <w:rFonts w:hint="eastAsia" w:ascii="宋体" w:hAnsi="宋体"/>
                <w:sz w:val="24"/>
                <w:szCs w:val="24"/>
              </w:rPr>
              <w:t>项目编号：</w:t>
            </w:r>
          </w:p>
        </w:tc>
      </w:tr>
      <w:tr w14:paraId="13C75666">
        <w:tblPrEx>
          <w:tblCellMar>
            <w:top w:w="15" w:type="dxa"/>
            <w:left w:w="15" w:type="dxa"/>
            <w:bottom w:w="15" w:type="dxa"/>
            <w:right w:w="15" w:type="dxa"/>
          </w:tblCellMar>
        </w:tblPrEx>
        <w:trPr>
          <w:trHeight w:val="54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7271EF48">
            <w:pPr>
              <w:widowControl/>
              <w:jc w:val="center"/>
              <w:textAlignment w:val="center"/>
              <w:rPr>
                <w:rFonts w:ascii="宋体"/>
                <w:sz w:val="24"/>
                <w:szCs w:val="24"/>
              </w:rPr>
            </w:pPr>
            <w:r>
              <w:rPr>
                <w:rFonts w:hint="eastAsia" w:ascii="宋体" w:hAnsi="宋体"/>
                <w:sz w:val="24"/>
                <w:szCs w:val="24"/>
              </w:rPr>
              <w:t>姓名</w:t>
            </w:r>
          </w:p>
        </w:tc>
        <w:tc>
          <w:tcPr>
            <w:tcW w:w="993" w:type="dxa"/>
            <w:tcBorders>
              <w:top w:val="single" w:color="000000" w:sz="4" w:space="0"/>
              <w:left w:val="single" w:color="000000" w:sz="4" w:space="0"/>
              <w:bottom w:val="single" w:color="000000" w:sz="4" w:space="0"/>
              <w:right w:val="single" w:color="000000" w:sz="4" w:space="0"/>
            </w:tcBorders>
            <w:vAlign w:val="center"/>
          </w:tcPr>
          <w:p w14:paraId="17F59D96">
            <w:pPr>
              <w:widowControl/>
              <w:jc w:val="center"/>
              <w:textAlignment w:val="center"/>
              <w:rPr>
                <w:rFonts w:ascii="宋体"/>
                <w:sz w:val="24"/>
                <w:szCs w:val="24"/>
              </w:rPr>
            </w:pPr>
            <w:r>
              <w:rPr>
                <w:rFonts w:hint="eastAsia" w:ascii="宋体" w:hAnsi="宋体"/>
                <w:sz w:val="24"/>
                <w:szCs w:val="24"/>
              </w:rPr>
              <w:t>性别</w:t>
            </w:r>
          </w:p>
        </w:tc>
        <w:tc>
          <w:tcPr>
            <w:tcW w:w="1275" w:type="dxa"/>
            <w:tcBorders>
              <w:top w:val="single" w:color="000000" w:sz="4" w:space="0"/>
              <w:left w:val="single" w:color="000000" w:sz="4" w:space="0"/>
              <w:bottom w:val="single" w:color="000000" w:sz="4" w:space="0"/>
              <w:right w:val="single" w:color="000000" w:sz="4" w:space="0"/>
            </w:tcBorders>
            <w:vAlign w:val="center"/>
          </w:tcPr>
          <w:p w14:paraId="44AB43DB">
            <w:pPr>
              <w:widowControl/>
              <w:jc w:val="center"/>
              <w:textAlignment w:val="center"/>
              <w:rPr>
                <w:rFonts w:ascii="宋体"/>
                <w:sz w:val="24"/>
                <w:szCs w:val="24"/>
              </w:rPr>
            </w:pPr>
            <w:r>
              <w:rPr>
                <w:rFonts w:hint="eastAsia" w:ascii="宋体" w:hAnsi="宋体"/>
                <w:sz w:val="24"/>
                <w:szCs w:val="24"/>
              </w:rPr>
              <w:t>年龄</w:t>
            </w:r>
          </w:p>
        </w:tc>
        <w:tc>
          <w:tcPr>
            <w:tcW w:w="1276" w:type="dxa"/>
            <w:tcBorders>
              <w:top w:val="single" w:color="000000" w:sz="4" w:space="0"/>
              <w:left w:val="single" w:color="000000" w:sz="4" w:space="0"/>
              <w:bottom w:val="single" w:color="000000" w:sz="4" w:space="0"/>
              <w:right w:val="single" w:color="000000" w:sz="4" w:space="0"/>
            </w:tcBorders>
            <w:vAlign w:val="center"/>
          </w:tcPr>
          <w:p w14:paraId="79570385">
            <w:pPr>
              <w:widowControl/>
              <w:jc w:val="center"/>
              <w:textAlignment w:val="center"/>
              <w:rPr>
                <w:rFonts w:ascii="宋体"/>
                <w:sz w:val="24"/>
                <w:szCs w:val="24"/>
              </w:rPr>
            </w:pPr>
            <w:r>
              <w:rPr>
                <w:rFonts w:hint="eastAsia" w:ascii="宋体" w:hAnsi="宋体"/>
                <w:sz w:val="24"/>
                <w:szCs w:val="24"/>
              </w:rPr>
              <w:t>专业</w:t>
            </w:r>
          </w:p>
        </w:tc>
        <w:tc>
          <w:tcPr>
            <w:tcW w:w="1456" w:type="dxa"/>
            <w:tcBorders>
              <w:top w:val="single" w:color="000000" w:sz="4" w:space="0"/>
              <w:left w:val="single" w:color="000000" w:sz="4" w:space="0"/>
              <w:bottom w:val="single" w:color="000000" w:sz="4" w:space="0"/>
              <w:right w:val="single" w:color="000000" w:sz="4" w:space="0"/>
            </w:tcBorders>
            <w:vAlign w:val="center"/>
          </w:tcPr>
          <w:p w14:paraId="1A2EF2CA">
            <w:pPr>
              <w:widowControl/>
              <w:jc w:val="center"/>
              <w:textAlignment w:val="center"/>
              <w:rPr>
                <w:rFonts w:ascii="宋体"/>
                <w:sz w:val="24"/>
                <w:szCs w:val="24"/>
              </w:rPr>
            </w:pPr>
            <w:r>
              <w:rPr>
                <w:rFonts w:hint="eastAsia" w:ascii="宋体" w:hAnsi="宋体"/>
                <w:sz w:val="24"/>
                <w:szCs w:val="24"/>
              </w:rPr>
              <w:t>职称</w:t>
            </w: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14:paraId="1624F166">
            <w:pPr>
              <w:widowControl/>
              <w:jc w:val="center"/>
              <w:textAlignment w:val="center"/>
              <w:rPr>
                <w:rFonts w:ascii="宋体"/>
                <w:sz w:val="24"/>
                <w:szCs w:val="24"/>
              </w:rPr>
            </w:pPr>
            <w:r>
              <w:rPr>
                <w:rFonts w:hint="eastAsia" w:ascii="宋体" w:hAnsi="宋体"/>
                <w:sz w:val="24"/>
                <w:szCs w:val="24"/>
              </w:rPr>
              <w:t>工作经验年限</w:t>
            </w:r>
          </w:p>
        </w:tc>
        <w:tc>
          <w:tcPr>
            <w:tcW w:w="1808" w:type="dxa"/>
            <w:tcBorders>
              <w:top w:val="single" w:color="000000" w:sz="4" w:space="0"/>
              <w:left w:val="single" w:color="000000" w:sz="4" w:space="0"/>
              <w:bottom w:val="single" w:color="000000" w:sz="4" w:space="0"/>
              <w:right w:val="single" w:color="000000" w:sz="4" w:space="0"/>
            </w:tcBorders>
            <w:vAlign w:val="center"/>
          </w:tcPr>
          <w:p w14:paraId="224D8A82">
            <w:pPr>
              <w:widowControl/>
              <w:jc w:val="center"/>
              <w:textAlignment w:val="center"/>
              <w:rPr>
                <w:rFonts w:ascii="宋体"/>
                <w:sz w:val="24"/>
                <w:szCs w:val="24"/>
              </w:rPr>
            </w:pPr>
            <w:r>
              <w:rPr>
                <w:rFonts w:hint="eastAsia" w:ascii="宋体" w:hAnsi="宋体"/>
                <w:sz w:val="24"/>
                <w:szCs w:val="24"/>
              </w:rPr>
              <w:t>备注</w:t>
            </w:r>
          </w:p>
        </w:tc>
      </w:tr>
      <w:tr w14:paraId="20A49E44">
        <w:tblPrEx>
          <w:tblCellMar>
            <w:top w:w="15" w:type="dxa"/>
            <w:left w:w="15" w:type="dxa"/>
            <w:bottom w:w="15" w:type="dxa"/>
            <w:right w:w="15" w:type="dxa"/>
          </w:tblCellMar>
        </w:tblPrEx>
        <w:trPr>
          <w:cantSplit/>
          <w:trHeight w:val="123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614A513B">
            <w:pPr>
              <w:jc w:val="center"/>
              <w:rPr>
                <w:rFonts w:ascii="宋体"/>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B1B3DE4">
            <w:pPr>
              <w:jc w:val="center"/>
              <w:rPr>
                <w:rFonts w:ascii="宋体"/>
                <w:sz w:val="24"/>
                <w:szCs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F223E86">
            <w:pPr>
              <w:jc w:val="center"/>
              <w:rPr>
                <w:rFonts w:ascii="宋体"/>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FC58DB2">
            <w:pPr>
              <w:jc w:val="center"/>
              <w:rPr>
                <w:rFonts w:ascii="宋体"/>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18D9B88A">
            <w:pPr>
              <w:jc w:val="center"/>
              <w:rPr>
                <w:rFonts w:ascii="宋体"/>
                <w:sz w:val="24"/>
                <w:szCs w:val="24"/>
              </w:rPr>
            </w:pP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14:paraId="7389358F">
            <w:pPr>
              <w:jc w:val="center"/>
              <w:rPr>
                <w:rFonts w:ascii="宋体"/>
                <w:sz w:val="24"/>
                <w:szCs w:val="24"/>
              </w:rPr>
            </w:pPr>
          </w:p>
        </w:tc>
        <w:tc>
          <w:tcPr>
            <w:tcW w:w="1808" w:type="dxa"/>
            <w:tcBorders>
              <w:top w:val="single" w:color="000000" w:sz="4" w:space="0"/>
              <w:left w:val="single" w:color="000000" w:sz="4" w:space="0"/>
              <w:bottom w:val="single" w:color="000000" w:sz="4" w:space="0"/>
              <w:right w:val="single" w:color="000000" w:sz="4" w:space="0"/>
            </w:tcBorders>
            <w:vAlign w:val="center"/>
          </w:tcPr>
          <w:p w14:paraId="71D8AE53">
            <w:pPr>
              <w:jc w:val="center"/>
              <w:rPr>
                <w:rFonts w:ascii="宋体"/>
                <w:sz w:val="24"/>
                <w:szCs w:val="24"/>
              </w:rPr>
            </w:pPr>
          </w:p>
        </w:tc>
      </w:tr>
    </w:tbl>
    <w:p w14:paraId="665850C5">
      <w:pPr>
        <w:widowControl/>
        <w:adjustRightInd w:val="0"/>
        <w:spacing w:line="420" w:lineRule="auto"/>
        <w:jc w:val="left"/>
        <w:rPr>
          <w:rFonts w:ascii="宋体"/>
          <w:sz w:val="24"/>
          <w:szCs w:val="24"/>
        </w:rPr>
      </w:pPr>
    </w:p>
    <w:p w14:paraId="651F8D00">
      <w:pPr>
        <w:widowControl/>
        <w:adjustRightInd w:val="0"/>
        <w:spacing w:line="420" w:lineRule="auto"/>
        <w:jc w:val="left"/>
        <w:rPr>
          <w:rFonts w:ascii="宋体"/>
          <w:b/>
          <w:bCs/>
          <w:sz w:val="24"/>
          <w:szCs w:val="24"/>
        </w:rPr>
      </w:pPr>
      <w:r>
        <w:rPr>
          <w:rFonts w:hint="eastAsia" w:ascii="宋体" w:hAnsi="宋体"/>
          <w:sz w:val="24"/>
          <w:szCs w:val="24"/>
        </w:rPr>
        <w:t>供应商名称：（盖章）</w:t>
      </w:r>
    </w:p>
    <w:p w14:paraId="06712760">
      <w:pPr>
        <w:autoSpaceDE w:val="0"/>
        <w:autoSpaceDN w:val="0"/>
        <w:adjustRightInd w:val="0"/>
        <w:spacing w:line="360" w:lineRule="auto"/>
        <w:jc w:val="center"/>
        <w:rPr>
          <w:b/>
          <w:sz w:val="24"/>
          <w:szCs w:val="24"/>
        </w:rPr>
      </w:pPr>
      <w:bookmarkStart w:id="142" w:name="_Toc94108792"/>
      <w:r>
        <w:rPr>
          <w:rFonts w:hint="eastAsia"/>
          <w:b/>
          <w:sz w:val="24"/>
          <w:szCs w:val="24"/>
        </w:rPr>
        <w:t>（二）拟派团队人员配置表</w:t>
      </w:r>
      <w:bookmarkEnd w:id="142"/>
    </w:p>
    <w:tbl>
      <w:tblPr>
        <w:tblStyle w:val="64"/>
        <w:tblW w:w="0" w:type="auto"/>
        <w:jc w:val="center"/>
        <w:tblLayout w:type="fixed"/>
        <w:tblCellMar>
          <w:top w:w="15" w:type="dxa"/>
          <w:left w:w="15" w:type="dxa"/>
          <w:bottom w:w="15" w:type="dxa"/>
          <w:right w:w="15" w:type="dxa"/>
        </w:tblCellMar>
      </w:tblPr>
      <w:tblGrid>
        <w:gridCol w:w="840"/>
        <w:gridCol w:w="1327"/>
        <w:gridCol w:w="840"/>
        <w:gridCol w:w="855"/>
        <w:gridCol w:w="1725"/>
        <w:gridCol w:w="1544"/>
        <w:gridCol w:w="2093"/>
      </w:tblGrid>
      <w:tr w14:paraId="0F864A73">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3E003058">
            <w:pPr>
              <w:widowControl/>
              <w:jc w:val="center"/>
              <w:textAlignment w:val="center"/>
              <w:rPr>
                <w:rFonts w:ascii="宋体"/>
                <w:sz w:val="24"/>
                <w:szCs w:val="24"/>
              </w:rPr>
            </w:pPr>
            <w:r>
              <w:rPr>
                <w:rFonts w:hint="eastAsia" w:ascii="宋体" w:hAnsi="宋体"/>
                <w:sz w:val="24"/>
                <w:szCs w:val="24"/>
              </w:rPr>
              <w:t>序号</w:t>
            </w:r>
          </w:p>
        </w:tc>
        <w:tc>
          <w:tcPr>
            <w:tcW w:w="1327" w:type="dxa"/>
            <w:tcBorders>
              <w:top w:val="single" w:color="000000" w:sz="4" w:space="0"/>
              <w:right w:val="single" w:color="000000" w:sz="4" w:space="0"/>
            </w:tcBorders>
            <w:vAlign w:val="center"/>
          </w:tcPr>
          <w:p w14:paraId="284B68BA">
            <w:pPr>
              <w:widowControl/>
              <w:jc w:val="center"/>
              <w:textAlignment w:val="center"/>
              <w:rPr>
                <w:rFonts w:ascii="宋体"/>
                <w:sz w:val="24"/>
                <w:szCs w:val="24"/>
              </w:rPr>
            </w:pPr>
            <w:r>
              <w:rPr>
                <w:rFonts w:hint="eastAsia" w:ascii="宋体" w:hAnsi="宋体"/>
                <w:sz w:val="24"/>
                <w:szCs w:val="24"/>
              </w:rPr>
              <w:t>姓名</w:t>
            </w:r>
          </w:p>
        </w:tc>
        <w:tc>
          <w:tcPr>
            <w:tcW w:w="840" w:type="dxa"/>
            <w:tcBorders>
              <w:top w:val="single" w:color="000000" w:sz="4" w:space="0"/>
              <w:left w:val="single" w:color="000000" w:sz="4" w:space="0"/>
              <w:right w:val="single" w:color="000000" w:sz="4" w:space="0"/>
            </w:tcBorders>
            <w:vAlign w:val="center"/>
          </w:tcPr>
          <w:p w14:paraId="6FFD695B">
            <w:pPr>
              <w:widowControl/>
              <w:jc w:val="center"/>
              <w:textAlignment w:val="center"/>
              <w:rPr>
                <w:rFonts w:ascii="宋体"/>
                <w:sz w:val="24"/>
                <w:szCs w:val="24"/>
              </w:rPr>
            </w:pPr>
            <w:r>
              <w:rPr>
                <w:rFonts w:hint="eastAsia" w:ascii="宋体" w:hAnsi="宋体"/>
                <w:sz w:val="24"/>
                <w:szCs w:val="24"/>
              </w:rPr>
              <w:t>性别</w:t>
            </w:r>
          </w:p>
        </w:tc>
        <w:tc>
          <w:tcPr>
            <w:tcW w:w="855" w:type="dxa"/>
            <w:tcBorders>
              <w:top w:val="single" w:color="000000" w:sz="4" w:space="0"/>
              <w:left w:val="single" w:color="000000" w:sz="4" w:space="0"/>
              <w:right w:val="single" w:color="000000" w:sz="4" w:space="0"/>
            </w:tcBorders>
            <w:vAlign w:val="center"/>
          </w:tcPr>
          <w:p w14:paraId="67BFB454">
            <w:pPr>
              <w:widowControl/>
              <w:jc w:val="center"/>
              <w:textAlignment w:val="center"/>
              <w:rPr>
                <w:rFonts w:ascii="宋体"/>
                <w:sz w:val="24"/>
                <w:szCs w:val="24"/>
              </w:rPr>
            </w:pPr>
            <w:r>
              <w:rPr>
                <w:rFonts w:hint="eastAsia" w:ascii="宋体" w:hAnsi="宋体"/>
                <w:sz w:val="24"/>
                <w:szCs w:val="24"/>
              </w:rPr>
              <w:t>年龄</w:t>
            </w:r>
          </w:p>
        </w:tc>
        <w:tc>
          <w:tcPr>
            <w:tcW w:w="1725" w:type="dxa"/>
            <w:tcBorders>
              <w:top w:val="single" w:color="000000" w:sz="4" w:space="0"/>
              <w:left w:val="single" w:color="000000" w:sz="4" w:space="0"/>
              <w:bottom w:val="single" w:color="000000" w:sz="4" w:space="0"/>
              <w:right w:val="single" w:color="000000" w:sz="4" w:space="0"/>
            </w:tcBorders>
            <w:vAlign w:val="center"/>
          </w:tcPr>
          <w:p w14:paraId="4075E67D">
            <w:pPr>
              <w:widowControl/>
              <w:jc w:val="center"/>
              <w:textAlignment w:val="center"/>
              <w:rPr>
                <w:rFonts w:ascii="宋体"/>
                <w:sz w:val="24"/>
                <w:szCs w:val="24"/>
              </w:rPr>
            </w:pPr>
            <w:r>
              <w:rPr>
                <w:rFonts w:hint="eastAsia" w:ascii="宋体" w:hAnsi="宋体"/>
                <w:sz w:val="24"/>
                <w:szCs w:val="24"/>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14:paraId="06181970">
            <w:pPr>
              <w:widowControl/>
              <w:jc w:val="center"/>
              <w:textAlignment w:val="center"/>
              <w:rPr>
                <w:rFonts w:ascii="宋体"/>
                <w:sz w:val="24"/>
                <w:szCs w:val="24"/>
              </w:rPr>
            </w:pPr>
            <w:r>
              <w:rPr>
                <w:rFonts w:hint="eastAsia" w:ascii="宋体" w:hAnsi="宋体"/>
                <w:sz w:val="24"/>
                <w:szCs w:val="24"/>
              </w:rPr>
              <w:t>职称</w:t>
            </w:r>
          </w:p>
        </w:tc>
        <w:tc>
          <w:tcPr>
            <w:tcW w:w="2093" w:type="dxa"/>
            <w:tcBorders>
              <w:top w:val="single" w:color="000000" w:sz="4" w:space="0"/>
              <w:left w:val="single" w:color="000000" w:sz="4" w:space="0"/>
              <w:bottom w:val="single" w:color="000000" w:sz="4" w:space="0"/>
              <w:right w:val="single" w:color="000000" w:sz="4" w:space="0"/>
            </w:tcBorders>
            <w:vAlign w:val="center"/>
          </w:tcPr>
          <w:p w14:paraId="659490DD">
            <w:pPr>
              <w:widowControl/>
              <w:jc w:val="center"/>
              <w:textAlignment w:val="center"/>
              <w:rPr>
                <w:rFonts w:ascii="宋体"/>
                <w:sz w:val="24"/>
                <w:szCs w:val="24"/>
              </w:rPr>
            </w:pPr>
            <w:r>
              <w:rPr>
                <w:rFonts w:hint="eastAsia" w:ascii="宋体" w:hAnsi="宋体"/>
                <w:sz w:val="24"/>
                <w:szCs w:val="24"/>
              </w:rPr>
              <w:t>工作经验年限</w:t>
            </w:r>
          </w:p>
        </w:tc>
      </w:tr>
      <w:tr w14:paraId="6B59CBA6">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2DE2E14A">
            <w:pPr>
              <w:widowControl/>
              <w:jc w:val="center"/>
              <w:textAlignment w:val="center"/>
              <w:rPr>
                <w:rFonts w:ascii="宋体"/>
                <w:sz w:val="24"/>
                <w:szCs w:val="24"/>
              </w:rPr>
            </w:pPr>
          </w:p>
        </w:tc>
        <w:tc>
          <w:tcPr>
            <w:tcW w:w="1327" w:type="dxa"/>
            <w:tcBorders>
              <w:top w:val="single" w:color="000000" w:sz="4" w:space="0"/>
              <w:bottom w:val="single" w:color="000000" w:sz="4" w:space="0"/>
              <w:right w:val="single" w:color="000000" w:sz="4" w:space="0"/>
            </w:tcBorders>
            <w:vAlign w:val="center"/>
          </w:tcPr>
          <w:p w14:paraId="73E9A09B">
            <w:pPr>
              <w:rPr>
                <w:rFonts w:ascii="宋体"/>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64C35A82">
            <w:pPr>
              <w:rPr>
                <w:rFonts w:ascii="宋体"/>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5742556">
            <w:pPr>
              <w:rPr>
                <w:rFonts w:ascii="宋体"/>
                <w:sz w:val="24"/>
                <w:szCs w:val="24"/>
              </w:rPr>
            </w:pPr>
          </w:p>
        </w:tc>
        <w:tc>
          <w:tcPr>
            <w:tcW w:w="1725" w:type="dxa"/>
            <w:tcBorders>
              <w:top w:val="single" w:color="000000" w:sz="4" w:space="0"/>
              <w:bottom w:val="single" w:color="000000" w:sz="4" w:space="0"/>
              <w:right w:val="single" w:color="000000" w:sz="4" w:space="0"/>
            </w:tcBorders>
            <w:vAlign w:val="center"/>
          </w:tcPr>
          <w:p w14:paraId="43C9349A">
            <w:pPr>
              <w:rPr>
                <w:rFonts w:ascii="宋体"/>
                <w:sz w:val="24"/>
                <w:szCs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18F3C20D">
            <w:pPr>
              <w:rPr>
                <w:rFonts w:ascii="宋体"/>
                <w:sz w:val="24"/>
                <w:szCs w:val="24"/>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5A6838D9">
            <w:pPr>
              <w:rPr>
                <w:rFonts w:ascii="宋体"/>
                <w:sz w:val="24"/>
                <w:szCs w:val="24"/>
              </w:rPr>
            </w:pPr>
          </w:p>
        </w:tc>
      </w:tr>
      <w:tr w14:paraId="5D8EE134">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6EE691F1">
            <w:pPr>
              <w:widowControl/>
              <w:jc w:val="center"/>
              <w:textAlignment w:val="center"/>
              <w:rPr>
                <w:rFonts w:ascii="宋体"/>
                <w:sz w:val="24"/>
                <w:szCs w:val="24"/>
              </w:rPr>
            </w:pPr>
          </w:p>
        </w:tc>
        <w:tc>
          <w:tcPr>
            <w:tcW w:w="1327" w:type="dxa"/>
            <w:tcBorders>
              <w:top w:val="single" w:color="000000" w:sz="4" w:space="0"/>
              <w:bottom w:val="single" w:color="000000" w:sz="4" w:space="0"/>
              <w:right w:val="single" w:color="000000" w:sz="4" w:space="0"/>
            </w:tcBorders>
            <w:vAlign w:val="center"/>
          </w:tcPr>
          <w:p w14:paraId="1E79C775">
            <w:pPr>
              <w:rPr>
                <w:rFonts w:ascii="宋体"/>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0E5A58D">
            <w:pPr>
              <w:rPr>
                <w:rFonts w:ascii="宋体"/>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50CE817">
            <w:pPr>
              <w:rPr>
                <w:rFonts w:ascii="宋体"/>
                <w:sz w:val="24"/>
                <w:szCs w:val="24"/>
              </w:rPr>
            </w:pPr>
          </w:p>
        </w:tc>
        <w:tc>
          <w:tcPr>
            <w:tcW w:w="1725" w:type="dxa"/>
            <w:tcBorders>
              <w:top w:val="single" w:color="000000" w:sz="4" w:space="0"/>
              <w:bottom w:val="single" w:color="000000" w:sz="4" w:space="0"/>
              <w:right w:val="single" w:color="000000" w:sz="4" w:space="0"/>
            </w:tcBorders>
            <w:vAlign w:val="center"/>
          </w:tcPr>
          <w:p w14:paraId="1B309A57">
            <w:pPr>
              <w:rPr>
                <w:rFonts w:ascii="宋体"/>
                <w:sz w:val="24"/>
                <w:szCs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329DC93B">
            <w:pPr>
              <w:rPr>
                <w:rFonts w:ascii="宋体"/>
                <w:sz w:val="24"/>
                <w:szCs w:val="24"/>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6A3DBD2A">
            <w:pPr>
              <w:rPr>
                <w:rFonts w:ascii="宋体"/>
                <w:sz w:val="24"/>
                <w:szCs w:val="24"/>
              </w:rPr>
            </w:pPr>
          </w:p>
        </w:tc>
      </w:tr>
      <w:tr w14:paraId="34F960AB">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4D6265C6">
            <w:pPr>
              <w:widowControl/>
              <w:jc w:val="center"/>
              <w:textAlignment w:val="center"/>
              <w:rPr>
                <w:rFonts w:ascii="宋体"/>
                <w:sz w:val="24"/>
                <w:szCs w:val="24"/>
              </w:rPr>
            </w:pPr>
          </w:p>
        </w:tc>
        <w:tc>
          <w:tcPr>
            <w:tcW w:w="1327" w:type="dxa"/>
            <w:tcBorders>
              <w:top w:val="single" w:color="000000" w:sz="4" w:space="0"/>
              <w:bottom w:val="single" w:color="000000" w:sz="4" w:space="0"/>
              <w:right w:val="single" w:color="000000" w:sz="4" w:space="0"/>
            </w:tcBorders>
            <w:vAlign w:val="center"/>
          </w:tcPr>
          <w:p w14:paraId="52E74D9F">
            <w:pPr>
              <w:rPr>
                <w:rFonts w:ascii="宋体"/>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0E99ADCC">
            <w:pPr>
              <w:rPr>
                <w:rFonts w:ascii="宋体"/>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8AD2734">
            <w:pPr>
              <w:rPr>
                <w:rFonts w:ascii="宋体"/>
                <w:sz w:val="24"/>
                <w:szCs w:val="24"/>
              </w:rPr>
            </w:pPr>
          </w:p>
        </w:tc>
        <w:tc>
          <w:tcPr>
            <w:tcW w:w="1725" w:type="dxa"/>
            <w:tcBorders>
              <w:top w:val="single" w:color="000000" w:sz="4" w:space="0"/>
              <w:bottom w:val="single" w:color="000000" w:sz="4" w:space="0"/>
              <w:right w:val="single" w:color="000000" w:sz="4" w:space="0"/>
            </w:tcBorders>
            <w:vAlign w:val="center"/>
          </w:tcPr>
          <w:p w14:paraId="65C5C34A">
            <w:pPr>
              <w:rPr>
                <w:rFonts w:ascii="宋体"/>
                <w:sz w:val="24"/>
                <w:szCs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6EE1E012">
            <w:pPr>
              <w:rPr>
                <w:rFonts w:ascii="宋体"/>
                <w:sz w:val="24"/>
                <w:szCs w:val="24"/>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6A5E0BD9">
            <w:pPr>
              <w:rPr>
                <w:rFonts w:ascii="宋体"/>
                <w:sz w:val="24"/>
                <w:szCs w:val="24"/>
              </w:rPr>
            </w:pPr>
          </w:p>
        </w:tc>
      </w:tr>
      <w:tr w14:paraId="4DBBE3D5">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5DFE5BFB">
            <w:pPr>
              <w:widowControl/>
              <w:jc w:val="center"/>
              <w:textAlignment w:val="center"/>
              <w:rPr>
                <w:rFonts w:ascii="宋体"/>
                <w:sz w:val="24"/>
                <w:szCs w:val="24"/>
              </w:rPr>
            </w:pPr>
          </w:p>
        </w:tc>
        <w:tc>
          <w:tcPr>
            <w:tcW w:w="1327" w:type="dxa"/>
            <w:tcBorders>
              <w:top w:val="single" w:color="000000" w:sz="4" w:space="0"/>
              <w:bottom w:val="single" w:color="000000" w:sz="4" w:space="0"/>
              <w:right w:val="single" w:color="000000" w:sz="4" w:space="0"/>
            </w:tcBorders>
            <w:vAlign w:val="center"/>
          </w:tcPr>
          <w:p w14:paraId="021BA08D">
            <w:pPr>
              <w:rPr>
                <w:rFonts w:ascii="宋体"/>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8EAF811">
            <w:pPr>
              <w:rPr>
                <w:rFonts w:ascii="宋体"/>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93BA2E1">
            <w:pPr>
              <w:rPr>
                <w:rFonts w:ascii="宋体"/>
                <w:sz w:val="24"/>
                <w:szCs w:val="24"/>
              </w:rPr>
            </w:pPr>
          </w:p>
        </w:tc>
        <w:tc>
          <w:tcPr>
            <w:tcW w:w="1725" w:type="dxa"/>
            <w:tcBorders>
              <w:top w:val="single" w:color="000000" w:sz="4" w:space="0"/>
              <w:bottom w:val="single" w:color="000000" w:sz="4" w:space="0"/>
              <w:right w:val="single" w:color="000000" w:sz="4" w:space="0"/>
            </w:tcBorders>
            <w:vAlign w:val="center"/>
          </w:tcPr>
          <w:p w14:paraId="2FE48880">
            <w:pPr>
              <w:rPr>
                <w:rFonts w:ascii="宋体"/>
                <w:sz w:val="24"/>
                <w:szCs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6D556C84">
            <w:pPr>
              <w:rPr>
                <w:rFonts w:ascii="宋体"/>
                <w:sz w:val="24"/>
                <w:szCs w:val="24"/>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0130F1E1">
            <w:pPr>
              <w:rPr>
                <w:rFonts w:ascii="宋体"/>
                <w:sz w:val="24"/>
                <w:szCs w:val="24"/>
              </w:rPr>
            </w:pPr>
          </w:p>
        </w:tc>
      </w:tr>
      <w:tr w14:paraId="0B81F5B7">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3C204AD5">
            <w:pPr>
              <w:widowControl/>
              <w:jc w:val="center"/>
              <w:textAlignment w:val="center"/>
              <w:rPr>
                <w:rFonts w:ascii="宋体"/>
                <w:sz w:val="24"/>
                <w:szCs w:val="24"/>
              </w:rPr>
            </w:pPr>
          </w:p>
        </w:tc>
        <w:tc>
          <w:tcPr>
            <w:tcW w:w="1327" w:type="dxa"/>
            <w:tcBorders>
              <w:top w:val="single" w:color="000000" w:sz="4" w:space="0"/>
              <w:bottom w:val="single" w:color="000000" w:sz="4" w:space="0"/>
              <w:right w:val="single" w:color="000000" w:sz="4" w:space="0"/>
            </w:tcBorders>
            <w:vAlign w:val="center"/>
          </w:tcPr>
          <w:p w14:paraId="3DE39443">
            <w:pPr>
              <w:rPr>
                <w:rFonts w:ascii="宋体"/>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EBBA1BC">
            <w:pPr>
              <w:rPr>
                <w:rFonts w:ascii="宋体"/>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F388981">
            <w:pPr>
              <w:rPr>
                <w:rFonts w:ascii="宋体"/>
                <w:sz w:val="24"/>
                <w:szCs w:val="24"/>
              </w:rPr>
            </w:pPr>
          </w:p>
        </w:tc>
        <w:tc>
          <w:tcPr>
            <w:tcW w:w="1725" w:type="dxa"/>
            <w:tcBorders>
              <w:top w:val="single" w:color="000000" w:sz="4" w:space="0"/>
              <w:bottom w:val="single" w:color="000000" w:sz="4" w:space="0"/>
              <w:right w:val="single" w:color="000000" w:sz="4" w:space="0"/>
            </w:tcBorders>
            <w:vAlign w:val="center"/>
          </w:tcPr>
          <w:p w14:paraId="16FFFC66">
            <w:pPr>
              <w:rPr>
                <w:rFonts w:ascii="宋体"/>
                <w:sz w:val="24"/>
                <w:szCs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7582830F">
            <w:pPr>
              <w:rPr>
                <w:rFonts w:ascii="宋体"/>
                <w:sz w:val="24"/>
                <w:szCs w:val="24"/>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2AEAC485">
            <w:pPr>
              <w:rPr>
                <w:rFonts w:ascii="宋体"/>
                <w:sz w:val="24"/>
                <w:szCs w:val="24"/>
              </w:rPr>
            </w:pPr>
          </w:p>
        </w:tc>
      </w:tr>
      <w:tr w14:paraId="2A3EE71E">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13BC2754">
            <w:pPr>
              <w:widowControl/>
              <w:jc w:val="center"/>
              <w:textAlignment w:val="center"/>
              <w:rPr>
                <w:rFonts w:ascii="宋体"/>
                <w:sz w:val="24"/>
                <w:szCs w:val="24"/>
              </w:rPr>
            </w:pPr>
          </w:p>
        </w:tc>
        <w:tc>
          <w:tcPr>
            <w:tcW w:w="1327" w:type="dxa"/>
            <w:tcBorders>
              <w:top w:val="single" w:color="000000" w:sz="4" w:space="0"/>
              <w:bottom w:val="single" w:color="000000" w:sz="4" w:space="0"/>
              <w:right w:val="single" w:color="000000" w:sz="4" w:space="0"/>
            </w:tcBorders>
            <w:vAlign w:val="center"/>
          </w:tcPr>
          <w:p w14:paraId="343D7DAF">
            <w:pPr>
              <w:rPr>
                <w:rFonts w:ascii="宋体"/>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60B76F2">
            <w:pPr>
              <w:rPr>
                <w:rFonts w:ascii="宋体"/>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0DEE99E">
            <w:pPr>
              <w:rPr>
                <w:rFonts w:ascii="宋体"/>
                <w:sz w:val="24"/>
                <w:szCs w:val="24"/>
              </w:rPr>
            </w:pPr>
          </w:p>
        </w:tc>
        <w:tc>
          <w:tcPr>
            <w:tcW w:w="1725" w:type="dxa"/>
            <w:tcBorders>
              <w:top w:val="single" w:color="000000" w:sz="4" w:space="0"/>
              <w:bottom w:val="single" w:color="000000" w:sz="4" w:space="0"/>
              <w:right w:val="single" w:color="000000" w:sz="4" w:space="0"/>
            </w:tcBorders>
            <w:vAlign w:val="center"/>
          </w:tcPr>
          <w:p w14:paraId="32B54C15">
            <w:pPr>
              <w:rPr>
                <w:rFonts w:ascii="宋体"/>
                <w:sz w:val="24"/>
                <w:szCs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70349ADE">
            <w:pPr>
              <w:rPr>
                <w:rFonts w:ascii="宋体"/>
                <w:sz w:val="24"/>
                <w:szCs w:val="24"/>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2D261D4D">
            <w:pPr>
              <w:rPr>
                <w:rFonts w:ascii="宋体"/>
                <w:sz w:val="24"/>
                <w:szCs w:val="24"/>
              </w:rPr>
            </w:pPr>
          </w:p>
        </w:tc>
      </w:tr>
    </w:tbl>
    <w:p w14:paraId="4A354310">
      <w:pPr>
        <w:widowControl/>
        <w:adjustRightInd w:val="0"/>
        <w:spacing w:line="420" w:lineRule="auto"/>
        <w:jc w:val="left"/>
        <w:rPr>
          <w:rFonts w:ascii="宋体" w:hAnsi="宋体"/>
          <w:sz w:val="24"/>
          <w:szCs w:val="24"/>
        </w:rPr>
      </w:pPr>
    </w:p>
    <w:p w14:paraId="785A9C7E">
      <w:pPr>
        <w:widowControl/>
        <w:adjustRightInd w:val="0"/>
        <w:spacing w:line="420" w:lineRule="auto"/>
        <w:jc w:val="left"/>
        <w:rPr>
          <w:rFonts w:ascii="宋体"/>
          <w:sz w:val="24"/>
          <w:szCs w:val="24"/>
        </w:rPr>
      </w:pPr>
      <w:bookmarkStart w:id="143" w:name="OLE_LINK15"/>
      <w:bookmarkStart w:id="144" w:name="OLE_LINK14"/>
      <w:r>
        <w:rPr>
          <w:rFonts w:hint="eastAsia" w:ascii="宋体" w:hAnsi="宋体"/>
          <w:sz w:val="24"/>
          <w:szCs w:val="24"/>
        </w:rPr>
        <w:t>说明：如果行数不够，请自行增加。</w:t>
      </w:r>
    </w:p>
    <w:bookmarkEnd w:id="143"/>
    <w:bookmarkEnd w:id="144"/>
    <w:p w14:paraId="47328C41">
      <w:pPr>
        <w:widowControl/>
        <w:adjustRightInd w:val="0"/>
        <w:spacing w:line="420" w:lineRule="auto"/>
        <w:jc w:val="left"/>
        <w:rPr>
          <w:rFonts w:ascii="宋体" w:hAnsi="宋体"/>
          <w:sz w:val="24"/>
          <w:szCs w:val="24"/>
        </w:rPr>
      </w:pPr>
      <w:r>
        <w:rPr>
          <w:rFonts w:hint="eastAsia" w:ascii="宋体" w:hAnsi="宋体"/>
          <w:sz w:val="24"/>
          <w:szCs w:val="24"/>
        </w:rPr>
        <w:t>供应商名称：（盖章）</w:t>
      </w:r>
    </w:p>
    <w:p w14:paraId="793B6477">
      <w:pPr>
        <w:pageBreakBefore/>
        <w:autoSpaceDE w:val="0"/>
        <w:autoSpaceDN w:val="0"/>
        <w:adjustRightInd w:val="0"/>
        <w:spacing w:line="360" w:lineRule="auto"/>
        <w:jc w:val="center"/>
        <w:outlineLvl w:val="1"/>
        <w:rPr>
          <w:rFonts w:ascii="宋体" w:hAnsi="宋体" w:cs="微软雅黑"/>
          <w:b/>
          <w:bCs/>
          <w:sz w:val="32"/>
          <w:szCs w:val="32"/>
          <w:lang w:val="zh-CN"/>
        </w:rPr>
      </w:pPr>
      <w:bookmarkStart w:id="145" w:name="_Toc94108793"/>
      <w:r>
        <w:rPr>
          <w:rFonts w:hint="eastAsia" w:ascii="宋体" w:hAnsi="宋体" w:cs="微软雅黑"/>
          <w:b/>
          <w:bCs/>
          <w:sz w:val="32"/>
          <w:szCs w:val="32"/>
          <w:lang w:val="zh-CN"/>
        </w:rPr>
        <w:t>附件六、类似业绩情况表格式</w:t>
      </w:r>
      <w:bookmarkEnd w:id="145"/>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14:paraId="5928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768A14AD">
            <w:pPr>
              <w:spacing w:line="360" w:lineRule="auto"/>
              <w:jc w:val="center"/>
              <w:rPr>
                <w:rFonts w:ascii="宋体"/>
                <w:sz w:val="24"/>
                <w:szCs w:val="24"/>
              </w:rPr>
            </w:pPr>
            <w:r>
              <w:rPr>
                <w:rFonts w:hint="eastAsia" w:ascii="宋体" w:hAnsi="宋体"/>
                <w:sz w:val="24"/>
                <w:szCs w:val="24"/>
              </w:rPr>
              <w:t>序号</w:t>
            </w:r>
          </w:p>
        </w:tc>
        <w:tc>
          <w:tcPr>
            <w:tcW w:w="2310" w:type="dxa"/>
            <w:vAlign w:val="center"/>
          </w:tcPr>
          <w:p w14:paraId="2A481CF9">
            <w:pPr>
              <w:spacing w:line="360" w:lineRule="auto"/>
              <w:jc w:val="center"/>
              <w:rPr>
                <w:rFonts w:ascii="宋体"/>
                <w:sz w:val="24"/>
                <w:szCs w:val="24"/>
              </w:rPr>
            </w:pPr>
            <w:r>
              <w:rPr>
                <w:rFonts w:hint="eastAsia" w:ascii="宋体" w:hAnsi="宋体"/>
                <w:sz w:val="24"/>
                <w:szCs w:val="24"/>
              </w:rPr>
              <w:t>项目名称</w:t>
            </w:r>
          </w:p>
        </w:tc>
        <w:tc>
          <w:tcPr>
            <w:tcW w:w="2257" w:type="dxa"/>
            <w:vAlign w:val="center"/>
          </w:tcPr>
          <w:p w14:paraId="2B8C3421">
            <w:pPr>
              <w:spacing w:line="360" w:lineRule="auto"/>
              <w:jc w:val="center"/>
              <w:rPr>
                <w:rFonts w:ascii="宋体"/>
                <w:sz w:val="24"/>
                <w:szCs w:val="24"/>
              </w:rPr>
            </w:pPr>
            <w:r>
              <w:rPr>
                <w:rFonts w:hint="eastAsia" w:ascii="宋体" w:hAnsi="宋体"/>
                <w:sz w:val="24"/>
                <w:szCs w:val="24"/>
              </w:rPr>
              <w:t>采购单位</w:t>
            </w:r>
          </w:p>
        </w:tc>
        <w:tc>
          <w:tcPr>
            <w:tcW w:w="1255" w:type="dxa"/>
            <w:vAlign w:val="center"/>
          </w:tcPr>
          <w:p w14:paraId="3CB8AE41">
            <w:pPr>
              <w:spacing w:line="360" w:lineRule="auto"/>
              <w:jc w:val="center"/>
              <w:rPr>
                <w:rFonts w:ascii="宋体"/>
                <w:sz w:val="24"/>
                <w:szCs w:val="24"/>
              </w:rPr>
            </w:pPr>
            <w:r>
              <w:rPr>
                <w:rFonts w:hint="eastAsia" w:ascii="宋体" w:hAnsi="宋体"/>
                <w:sz w:val="24"/>
                <w:szCs w:val="24"/>
              </w:rPr>
              <w:t>合同</w:t>
            </w:r>
          </w:p>
          <w:p w14:paraId="1401CC68">
            <w:pPr>
              <w:spacing w:line="360" w:lineRule="auto"/>
              <w:jc w:val="center"/>
              <w:rPr>
                <w:rFonts w:ascii="宋体"/>
                <w:sz w:val="24"/>
                <w:szCs w:val="24"/>
              </w:rPr>
            </w:pPr>
            <w:r>
              <w:rPr>
                <w:rFonts w:hint="eastAsia" w:ascii="宋体" w:hAnsi="宋体"/>
                <w:sz w:val="24"/>
                <w:szCs w:val="24"/>
              </w:rPr>
              <w:t>金额</w:t>
            </w:r>
          </w:p>
        </w:tc>
        <w:tc>
          <w:tcPr>
            <w:tcW w:w="1418" w:type="dxa"/>
          </w:tcPr>
          <w:p w14:paraId="240B6EA0">
            <w:pPr>
              <w:spacing w:line="360" w:lineRule="auto"/>
              <w:jc w:val="center"/>
              <w:rPr>
                <w:rFonts w:ascii="宋体"/>
                <w:sz w:val="24"/>
                <w:szCs w:val="24"/>
              </w:rPr>
            </w:pPr>
            <w:r>
              <w:rPr>
                <w:rFonts w:hint="eastAsia" w:ascii="宋体" w:hAnsi="宋体"/>
                <w:sz w:val="24"/>
                <w:szCs w:val="24"/>
              </w:rPr>
              <w:t>合同签定</w:t>
            </w:r>
          </w:p>
          <w:p w14:paraId="659FB67B">
            <w:pPr>
              <w:spacing w:line="360" w:lineRule="auto"/>
              <w:jc w:val="center"/>
              <w:rPr>
                <w:rFonts w:ascii="宋体"/>
                <w:sz w:val="24"/>
                <w:szCs w:val="24"/>
              </w:rPr>
            </w:pPr>
            <w:r>
              <w:rPr>
                <w:rFonts w:hint="eastAsia" w:ascii="宋体" w:hAnsi="宋体"/>
                <w:sz w:val="24"/>
                <w:szCs w:val="24"/>
              </w:rPr>
              <w:t>时间</w:t>
            </w:r>
          </w:p>
        </w:tc>
        <w:tc>
          <w:tcPr>
            <w:tcW w:w="1134" w:type="dxa"/>
          </w:tcPr>
          <w:p w14:paraId="3B287C07">
            <w:pPr>
              <w:spacing w:line="360" w:lineRule="auto"/>
              <w:jc w:val="center"/>
              <w:rPr>
                <w:rFonts w:ascii="宋体"/>
                <w:sz w:val="24"/>
                <w:szCs w:val="24"/>
              </w:rPr>
            </w:pPr>
            <w:r>
              <w:rPr>
                <w:rFonts w:hint="eastAsia" w:ascii="宋体" w:hAnsi="宋体"/>
                <w:sz w:val="24"/>
                <w:szCs w:val="24"/>
              </w:rPr>
              <w:t>联系人及电话</w:t>
            </w:r>
          </w:p>
        </w:tc>
        <w:tc>
          <w:tcPr>
            <w:tcW w:w="969" w:type="dxa"/>
            <w:vAlign w:val="center"/>
          </w:tcPr>
          <w:p w14:paraId="1B2AEF3D">
            <w:pPr>
              <w:spacing w:line="360" w:lineRule="auto"/>
              <w:jc w:val="center"/>
              <w:rPr>
                <w:rFonts w:ascii="宋体"/>
                <w:sz w:val="24"/>
                <w:szCs w:val="24"/>
              </w:rPr>
            </w:pPr>
            <w:r>
              <w:rPr>
                <w:rFonts w:hint="eastAsia" w:ascii="宋体" w:hAnsi="宋体"/>
                <w:sz w:val="24"/>
                <w:szCs w:val="24"/>
              </w:rPr>
              <w:t>备注</w:t>
            </w:r>
          </w:p>
        </w:tc>
      </w:tr>
      <w:tr w14:paraId="15A7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090FD66A">
            <w:pPr>
              <w:spacing w:line="360" w:lineRule="auto"/>
              <w:jc w:val="center"/>
              <w:rPr>
                <w:rFonts w:ascii="宋体"/>
                <w:sz w:val="24"/>
                <w:szCs w:val="24"/>
              </w:rPr>
            </w:pPr>
          </w:p>
        </w:tc>
        <w:tc>
          <w:tcPr>
            <w:tcW w:w="2310" w:type="dxa"/>
          </w:tcPr>
          <w:p w14:paraId="3FA15F00">
            <w:pPr>
              <w:spacing w:line="360" w:lineRule="auto"/>
              <w:jc w:val="center"/>
              <w:rPr>
                <w:rFonts w:ascii="宋体"/>
                <w:sz w:val="24"/>
                <w:szCs w:val="24"/>
              </w:rPr>
            </w:pPr>
          </w:p>
        </w:tc>
        <w:tc>
          <w:tcPr>
            <w:tcW w:w="2257" w:type="dxa"/>
          </w:tcPr>
          <w:p w14:paraId="2CC64936">
            <w:pPr>
              <w:spacing w:line="360" w:lineRule="auto"/>
              <w:ind w:firstLine="120" w:firstLineChars="50"/>
              <w:rPr>
                <w:rFonts w:ascii="宋体"/>
                <w:sz w:val="24"/>
                <w:szCs w:val="24"/>
              </w:rPr>
            </w:pPr>
          </w:p>
        </w:tc>
        <w:tc>
          <w:tcPr>
            <w:tcW w:w="1255" w:type="dxa"/>
          </w:tcPr>
          <w:p w14:paraId="4DF357A9">
            <w:pPr>
              <w:spacing w:line="360" w:lineRule="auto"/>
              <w:jc w:val="center"/>
              <w:rPr>
                <w:rFonts w:ascii="宋体"/>
                <w:sz w:val="24"/>
                <w:szCs w:val="24"/>
              </w:rPr>
            </w:pPr>
          </w:p>
        </w:tc>
        <w:tc>
          <w:tcPr>
            <w:tcW w:w="1418" w:type="dxa"/>
          </w:tcPr>
          <w:p w14:paraId="0B76CD55">
            <w:pPr>
              <w:spacing w:line="360" w:lineRule="auto"/>
              <w:jc w:val="center"/>
              <w:rPr>
                <w:rFonts w:ascii="宋体"/>
                <w:sz w:val="24"/>
                <w:szCs w:val="24"/>
              </w:rPr>
            </w:pPr>
          </w:p>
        </w:tc>
        <w:tc>
          <w:tcPr>
            <w:tcW w:w="1134" w:type="dxa"/>
          </w:tcPr>
          <w:p w14:paraId="67AFEEAC">
            <w:pPr>
              <w:spacing w:line="360" w:lineRule="auto"/>
              <w:jc w:val="center"/>
              <w:rPr>
                <w:rFonts w:ascii="宋体"/>
                <w:sz w:val="24"/>
                <w:szCs w:val="24"/>
              </w:rPr>
            </w:pPr>
          </w:p>
        </w:tc>
        <w:tc>
          <w:tcPr>
            <w:tcW w:w="969" w:type="dxa"/>
          </w:tcPr>
          <w:p w14:paraId="6364308C">
            <w:pPr>
              <w:spacing w:line="360" w:lineRule="auto"/>
              <w:jc w:val="center"/>
              <w:rPr>
                <w:rFonts w:ascii="宋体"/>
                <w:sz w:val="24"/>
                <w:szCs w:val="24"/>
              </w:rPr>
            </w:pPr>
          </w:p>
        </w:tc>
      </w:tr>
      <w:tr w14:paraId="5891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4F1720C6">
            <w:pPr>
              <w:spacing w:line="360" w:lineRule="auto"/>
              <w:jc w:val="center"/>
              <w:rPr>
                <w:rFonts w:ascii="宋体"/>
                <w:sz w:val="24"/>
                <w:szCs w:val="24"/>
              </w:rPr>
            </w:pPr>
          </w:p>
        </w:tc>
        <w:tc>
          <w:tcPr>
            <w:tcW w:w="2310" w:type="dxa"/>
          </w:tcPr>
          <w:p w14:paraId="45512A31">
            <w:pPr>
              <w:spacing w:line="360" w:lineRule="auto"/>
              <w:jc w:val="center"/>
              <w:rPr>
                <w:rFonts w:ascii="宋体"/>
                <w:sz w:val="24"/>
                <w:szCs w:val="24"/>
              </w:rPr>
            </w:pPr>
          </w:p>
        </w:tc>
        <w:tc>
          <w:tcPr>
            <w:tcW w:w="2257" w:type="dxa"/>
          </w:tcPr>
          <w:p w14:paraId="55CC609B">
            <w:pPr>
              <w:spacing w:line="360" w:lineRule="auto"/>
              <w:jc w:val="center"/>
              <w:rPr>
                <w:rFonts w:ascii="宋体"/>
                <w:sz w:val="24"/>
                <w:szCs w:val="24"/>
              </w:rPr>
            </w:pPr>
          </w:p>
        </w:tc>
        <w:tc>
          <w:tcPr>
            <w:tcW w:w="1255" w:type="dxa"/>
          </w:tcPr>
          <w:p w14:paraId="1CA30D1A">
            <w:pPr>
              <w:spacing w:line="360" w:lineRule="auto"/>
              <w:jc w:val="center"/>
              <w:rPr>
                <w:rFonts w:ascii="宋体"/>
                <w:sz w:val="24"/>
                <w:szCs w:val="24"/>
              </w:rPr>
            </w:pPr>
          </w:p>
        </w:tc>
        <w:tc>
          <w:tcPr>
            <w:tcW w:w="1418" w:type="dxa"/>
          </w:tcPr>
          <w:p w14:paraId="363A5C69">
            <w:pPr>
              <w:spacing w:line="360" w:lineRule="auto"/>
              <w:jc w:val="center"/>
              <w:rPr>
                <w:rFonts w:ascii="宋体"/>
                <w:sz w:val="24"/>
                <w:szCs w:val="24"/>
              </w:rPr>
            </w:pPr>
          </w:p>
        </w:tc>
        <w:tc>
          <w:tcPr>
            <w:tcW w:w="1134" w:type="dxa"/>
          </w:tcPr>
          <w:p w14:paraId="77F80A4C">
            <w:pPr>
              <w:spacing w:line="360" w:lineRule="auto"/>
              <w:jc w:val="center"/>
              <w:rPr>
                <w:rFonts w:ascii="宋体"/>
                <w:sz w:val="24"/>
                <w:szCs w:val="24"/>
              </w:rPr>
            </w:pPr>
          </w:p>
        </w:tc>
        <w:tc>
          <w:tcPr>
            <w:tcW w:w="969" w:type="dxa"/>
          </w:tcPr>
          <w:p w14:paraId="01B003DE">
            <w:pPr>
              <w:spacing w:line="360" w:lineRule="auto"/>
              <w:jc w:val="center"/>
              <w:rPr>
                <w:rFonts w:ascii="宋体"/>
                <w:sz w:val="24"/>
                <w:szCs w:val="24"/>
              </w:rPr>
            </w:pPr>
          </w:p>
        </w:tc>
      </w:tr>
      <w:tr w14:paraId="7E61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505FCBE7">
            <w:pPr>
              <w:spacing w:line="360" w:lineRule="auto"/>
              <w:jc w:val="center"/>
              <w:rPr>
                <w:rFonts w:ascii="宋体"/>
                <w:sz w:val="24"/>
                <w:szCs w:val="24"/>
              </w:rPr>
            </w:pPr>
          </w:p>
        </w:tc>
        <w:tc>
          <w:tcPr>
            <w:tcW w:w="2310" w:type="dxa"/>
          </w:tcPr>
          <w:p w14:paraId="061E344A">
            <w:pPr>
              <w:spacing w:line="360" w:lineRule="auto"/>
              <w:jc w:val="center"/>
              <w:rPr>
                <w:rFonts w:ascii="宋体"/>
                <w:sz w:val="24"/>
                <w:szCs w:val="24"/>
              </w:rPr>
            </w:pPr>
          </w:p>
        </w:tc>
        <w:tc>
          <w:tcPr>
            <w:tcW w:w="2257" w:type="dxa"/>
          </w:tcPr>
          <w:p w14:paraId="4FC8A66A">
            <w:pPr>
              <w:spacing w:line="360" w:lineRule="auto"/>
              <w:jc w:val="center"/>
              <w:rPr>
                <w:rFonts w:ascii="宋体"/>
                <w:sz w:val="24"/>
                <w:szCs w:val="24"/>
              </w:rPr>
            </w:pPr>
          </w:p>
        </w:tc>
        <w:tc>
          <w:tcPr>
            <w:tcW w:w="1255" w:type="dxa"/>
          </w:tcPr>
          <w:p w14:paraId="5FA51ECD">
            <w:pPr>
              <w:spacing w:line="360" w:lineRule="auto"/>
              <w:jc w:val="center"/>
              <w:rPr>
                <w:rFonts w:ascii="宋体"/>
                <w:sz w:val="24"/>
                <w:szCs w:val="24"/>
              </w:rPr>
            </w:pPr>
          </w:p>
        </w:tc>
        <w:tc>
          <w:tcPr>
            <w:tcW w:w="1418" w:type="dxa"/>
          </w:tcPr>
          <w:p w14:paraId="5C9B86B2">
            <w:pPr>
              <w:spacing w:line="360" w:lineRule="auto"/>
              <w:jc w:val="center"/>
              <w:rPr>
                <w:rFonts w:ascii="宋体"/>
                <w:sz w:val="24"/>
                <w:szCs w:val="24"/>
              </w:rPr>
            </w:pPr>
          </w:p>
        </w:tc>
        <w:tc>
          <w:tcPr>
            <w:tcW w:w="1134" w:type="dxa"/>
          </w:tcPr>
          <w:p w14:paraId="558B4DE7">
            <w:pPr>
              <w:spacing w:line="360" w:lineRule="auto"/>
              <w:jc w:val="center"/>
              <w:rPr>
                <w:rFonts w:ascii="宋体"/>
                <w:sz w:val="24"/>
                <w:szCs w:val="24"/>
              </w:rPr>
            </w:pPr>
          </w:p>
        </w:tc>
        <w:tc>
          <w:tcPr>
            <w:tcW w:w="969" w:type="dxa"/>
          </w:tcPr>
          <w:p w14:paraId="5C387EB1">
            <w:pPr>
              <w:spacing w:line="360" w:lineRule="auto"/>
              <w:jc w:val="center"/>
              <w:rPr>
                <w:rFonts w:ascii="宋体"/>
                <w:sz w:val="24"/>
                <w:szCs w:val="24"/>
              </w:rPr>
            </w:pPr>
          </w:p>
        </w:tc>
      </w:tr>
    </w:tbl>
    <w:p w14:paraId="734B3EDB">
      <w:pPr>
        <w:autoSpaceDE w:val="0"/>
        <w:autoSpaceDN w:val="0"/>
        <w:adjustRightInd w:val="0"/>
        <w:spacing w:line="360" w:lineRule="auto"/>
        <w:rPr>
          <w:rFonts w:ascii="宋体"/>
          <w:bCs/>
          <w:sz w:val="24"/>
          <w:szCs w:val="24"/>
        </w:rPr>
      </w:pPr>
      <w:r>
        <w:rPr>
          <w:rFonts w:hint="eastAsia" w:ascii="宋体" w:hAnsi="宋体"/>
          <w:bCs/>
          <w:sz w:val="24"/>
          <w:szCs w:val="24"/>
        </w:rPr>
        <w:t>说明：供应商根据本格式要求如实填写业绩情况表，并附业绩合同复印件。</w:t>
      </w:r>
    </w:p>
    <w:p w14:paraId="28B7452E">
      <w:pPr>
        <w:widowControl/>
        <w:adjustRightInd w:val="0"/>
        <w:spacing w:line="360" w:lineRule="auto"/>
        <w:jc w:val="left"/>
        <w:rPr>
          <w:rFonts w:ascii="宋体"/>
          <w:bCs/>
          <w:sz w:val="24"/>
          <w:szCs w:val="24"/>
        </w:rPr>
      </w:pPr>
      <w:r>
        <w:rPr>
          <w:rFonts w:hint="eastAsia" w:ascii="宋体" w:hAnsi="宋体"/>
          <w:bCs/>
          <w:sz w:val="24"/>
          <w:szCs w:val="24"/>
        </w:rPr>
        <w:t>供应商名称：</w:t>
      </w:r>
      <w:r>
        <w:rPr>
          <w:rFonts w:ascii="宋体" w:hAnsi="宋体"/>
          <w:bCs/>
          <w:sz w:val="24"/>
          <w:szCs w:val="24"/>
          <w:u w:val="single"/>
        </w:rPr>
        <w:t xml:space="preserve">                 </w:t>
      </w:r>
      <w:r>
        <w:rPr>
          <w:rFonts w:hint="eastAsia" w:ascii="宋体" w:hAnsi="宋体"/>
          <w:bCs/>
          <w:sz w:val="24"/>
          <w:szCs w:val="24"/>
        </w:rPr>
        <w:t>（盖章）</w:t>
      </w:r>
    </w:p>
    <w:p w14:paraId="19E5C5A9">
      <w:pPr>
        <w:spacing w:line="360" w:lineRule="auto"/>
        <w:rPr>
          <w:rFonts w:ascii="宋体" w:hAnsi="宋体" w:cs="微软雅黑"/>
          <w:b/>
          <w:kern w:val="0"/>
          <w:szCs w:val="21"/>
          <w:lang w:val="zh-CN"/>
        </w:rPr>
      </w:pPr>
    </w:p>
    <w:p w14:paraId="1EDCB6F8">
      <w:pPr>
        <w:spacing w:line="360" w:lineRule="auto"/>
        <w:rPr>
          <w:rFonts w:ascii="宋体" w:hAnsi="宋体" w:cs="微软雅黑"/>
          <w:b/>
          <w:kern w:val="0"/>
          <w:szCs w:val="21"/>
          <w:lang w:val="zh-CN"/>
        </w:rPr>
      </w:pPr>
    </w:p>
    <w:p w14:paraId="14640204">
      <w:pPr>
        <w:spacing w:line="360" w:lineRule="auto"/>
        <w:rPr>
          <w:rFonts w:ascii="宋体" w:hAnsi="宋体" w:cs="微软雅黑"/>
          <w:b/>
          <w:kern w:val="0"/>
          <w:szCs w:val="21"/>
          <w:lang w:val="zh-CN"/>
        </w:rPr>
      </w:pPr>
    </w:p>
    <w:p w14:paraId="5BAE1696">
      <w:pPr>
        <w:spacing w:line="360" w:lineRule="auto"/>
        <w:rPr>
          <w:rFonts w:ascii="宋体" w:hAnsi="宋体" w:cs="微软雅黑"/>
          <w:b/>
          <w:kern w:val="0"/>
          <w:szCs w:val="21"/>
          <w:lang w:val="zh-CN"/>
        </w:rPr>
      </w:pPr>
    </w:p>
    <w:p w14:paraId="40A56F1B">
      <w:pPr>
        <w:spacing w:line="360" w:lineRule="auto"/>
        <w:rPr>
          <w:rFonts w:ascii="宋体" w:hAnsi="宋体" w:cs="微软雅黑"/>
          <w:b/>
          <w:kern w:val="0"/>
          <w:szCs w:val="21"/>
          <w:lang w:val="zh-CN"/>
        </w:rPr>
      </w:pPr>
    </w:p>
    <w:p w14:paraId="25A426E4">
      <w:pPr>
        <w:spacing w:line="360" w:lineRule="auto"/>
        <w:rPr>
          <w:rFonts w:ascii="宋体" w:hAnsi="宋体" w:cs="微软雅黑"/>
          <w:b/>
          <w:kern w:val="0"/>
          <w:szCs w:val="21"/>
          <w:lang w:val="zh-CN"/>
        </w:rPr>
      </w:pPr>
    </w:p>
    <w:p w14:paraId="2574C8A1">
      <w:pPr>
        <w:spacing w:line="360" w:lineRule="auto"/>
        <w:rPr>
          <w:rFonts w:ascii="宋体" w:hAnsi="宋体" w:cs="微软雅黑"/>
          <w:b/>
          <w:kern w:val="0"/>
          <w:szCs w:val="21"/>
          <w:lang w:val="zh-CN"/>
        </w:rPr>
      </w:pPr>
    </w:p>
    <w:p w14:paraId="0C418D20">
      <w:pPr>
        <w:spacing w:line="360" w:lineRule="auto"/>
        <w:rPr>
          <w:rFonts w:ascii="宋体" w:hAnsi="宋体" w:cs="微软雅黑"/>
          <w:b/>
          <w:kern w:val="0"/>
          <w:szCs w:val="21"/>
          <w:lang w:val="zh-CN"/>
        </w:rPr>
      </w:pPr>
    </w:p>
    <w:p w14:paraId="49CFC6C9">
      <w:pPr>
        <w:spacing w:line="360" w:lineRule="auto"/>
        <w:rPr>
          <w:rFonts w:ascii="宋体" w:hAnsi="宋体" w:cs="微软雅黑"/>
          <w:b/>
          <w:kern w:val="0"/>
          <w:szCs w:val="21"/>
          <w:lang w:val="zh-CN"/>
        </w:rPr>
      </w:pPr>
    </w:p>
    <w:p w14:paraId="4309F5C5">
      <w:pPr>
        <w:spacing w:line="360" w:lineRule="auto"/>
        <w:rPr>
          <w:rFonts w:ascii="宋体" w:hAnsi="宋体" w:cs="微软雅黑"/>
          <w:b/>
          <w:kern w:val="0"/>
          <w:szCs w:val="21"/>
          <w:lang w:val="zh-CN"/>
        </w:rPr>
      </w:pPr>
    </w:p>
    <w:p w14:paraId="70265DDB">
      <w:pPr>
        <w:spacing w:line="360" w:lineRule="auto"/>
        <w:rPr>
          <w:rFonts w:ascii="宋体" w:hAnsi="宋体" w:cs="微软雅黑"/>
          <w:b/>
          <w:kern w:val="0"/>
          <w:szCs w:val="21"/>
          <w:lang w:val="zh-CN"/>
        </w:rPr>
      </w:pPr>
    </w:p>
    <w:p w14:paraId="0AEB8BDB">
      <w:pPr>
        <w:spacing w:line="360" w:lineRule="auto"/>
        <w:rPr>
          <w:rFonts w:ascii="宋体" w:hAnsi="宋体" w:cs="微软雅黑"/>
          <w:b/>
          <w:kern w:val="0"/>
          <w:szCs w:val="21"/>
          <w:lang w:val="zh-CN"/>
        </w:rPr>
      </w:pPr>
    </w:p>
    <w:p w14:paraId="0960F640">
      <w:pPr>
        <w:spacing w:line="360" w:lineRule="auto"/>
        <w:rPr>
          <w:rFonts w:ascii="宋体" w:hAnsi="宋体" w:cs="微软雅黑"/>
          <w:b/>
          <w:kern w:val="0"/>
          <w:szCs w:val="21"/>
          <w:lang w:val="zh-CN"/>
        </w:rPr>
      </w:pPr>
    </w:p>
    <w:p w14:paraId="67D3B6BC">
      <w:pPr>
        <w:spacing w:line="360" w:lineRule="auto"/>
        <w:rPr>
          <w:rFonts w:ascii="宋体" w:hAnsi="宋体" w:cs="微软雅黑"/>
          <w:b/>
          <w:kern w:val="0"/>
          <w:szCs w:val="21"/>
          <w:lang w:val="zh-CN"/>
        </w:rPr>
      </w:pPr>
    </w:p>
    <w:p w14:paraId="4016410F">
      <w:pPr>
        <w:spacing w:line="360" w:lineRule="auto"/>
        <w:rPr>
          <w:rFonts w:ascii="宋体" w:hAnsi="宋体" w:cs="微软雅黑"/>
          <w:b/>
          <w:kern w:val="0"/>
          <w:szCs w:val="21"/>
          <w:lang w:val="zh-CN"/>
        </w:rPr>
      </w:pPr>
    </w:p>
    <w:p w14:paraId="30CAB278">
      <w:pPr>
        <w:spacing w:line="360" w:lineRule="auto"/>
        <w:rPr>
          <w:rFonts w:ascii="宋体" w:hAnsi="宋体" w:cs="微软雅黑"/>
          <w:b/>
          <w:kern w:val="0"/>
          <w:szCs w:val="21"/>
          <w:lang w:val="zh-CN"/>
        </w:rPr>
      </w:pPr>
    </w:p>
    <w:p w14:paraId="6B2D6D26">
      <w:pPr>
        <w:spacing w:line="360" w:lineRule="auto"/>
        <w:rPr>
          <w:rFonts w:ascii="宋体" w:hAnsi="宋体" w:cs="微软雅黑"/>
          <w:b/>
          <w:kern w:val="0"/>
          <w:szCs w:val="21"/>
          <w:lang w:val="zh-CN"/>
        </w:rPr>
      </w:pPr>
    </w:p>
    <w:p w14:paraId="48C1368D">
      <w:pPr>
        <w:spacing w:line="360" w:lineRule="auto"/>
        <w:rPr>
          <w:rFonts w:ascii="宋体" w:hAnsi="宋体" w:cs="微软雅黑"/>
          <w:b/>
          <w:kern w:val="0"/>
          <w:szCs w:val="21"/>
          <w:lang w:val="zh-CN"/>
        </w:rPr>
      </w:pPr>
    </w:p>
    <w:p w14:paraId="3756A0DB">
      <w:pPr>
        <w:spacing w:line="360" w:lineRule="auto"/>
        <w:rPr>
          <w:rFonts w:ascii="宋体" w:hAnsi="宋体" w:cs="微软雅黑"/>
          <w:b/>
          <w:kern w:val="0"/>
          <w:szCs w:val="21"/>
          <w:lang w:val="zh-CN"/>
        </w:rPr>
      </w:pPr>
    </w:p>
    <w:p w14:paraId="1165BF0A">
      <w:pPr>
        <w:spacing w:line="360" w:lineRule="auto"/>
        <w:rPr>
          <w:rFonts w:ascii="宋体" w:hAnsi="宋体" w:cs="微软雅黑"/>
          <w:b/>
          <w:kern w:val="0"/>
          <w:szCs w:val="21"/>
          <w:lang w:val="zh-CN"/>
        </w:rPr>
      </w:pPr>
    </w:p>
    <w:p w14:paraId="075E8F12">
      <w:pPr>
        <w:spacing w:line="360" w:lineRule="auto"/>
        <w:rPr>
          <w:rFonts w:ascii="宋体" w:hAnsi="宋体" w:cs="微软雅黑"/>
          <w:b/>
          <w:kern w:val="0"/>
          <w:szCs w:val="21"/>
          <w:lang w:val="zh-CN"/>
        </w:rPr>
      </w:pPr>
    </w:p>
    <w:p w14:paraId="51A34E00">
      <w:pPr>
        <w:spacing w:line="360" w:lineRule="auto"/>
        <w:rPr>
          <w:rFonts w:ascii="宋体" w:hAnsi="宋体" w:cs="微软雅黑"/>
          <w:b/>
          <w:kern w:val="0"/>
          <w:szCs w:val="21"/>
          <w:lang w:val="zh-CN"/>
        </w:rPr>
      </w:pPr>
    </w:p>
    <w:p w14:paraId="00F43324">
      <w:pPr>
        <w:spacing w:line="360" w:lineRule="auto"/>
        <w:rPr>
          <w:rFonts w:ascii="宋体" w:hAnsi="宋体" w:cs="微软雅黑"/>
          <w:b/>
          <w:kern w:val="0"/>
          <w:szCs w:val="21"/>
          <w:lang w:val="zh-CN"/>
        </w:rPr>
      </w:pPr>
    </w:p>
    <w:p w14:paraId="335A9717">
      <w:pPr>
        <w:spacing w:line="360" w:lineRule="auto"/>
        <w:rPr>
          <w:rFonts w:ascii="宋体" w:hAnsi="宋体" w:cs="微软雅黑"/>
          <w:b/>
          <w:kern w:val="0"/>
          <w:szCs w:val="21"/>
          <w:lang w:val="zh-CN"/>
        </w:rPr>
      </w:pPr>
    </w:p>
    <w:p w14:paraId="35630AE0">
      <w:pPr>
        <w:spacing w:line="360" w:lineRule="auto"/>
        <w:rPr>
          <w:rFonts w:ascii="宋体" w:hAnsi="宋体" w:cs="微软雅黑"/>
          <w:b/>
          <w:kern w:val="0"/>
          <w:szCs w:val="21"/>
          <w:lang w:val="zh-CN"/>
        </w:rPr>
      </w:pPr>
    </w:p>
    <w:p w14:paraId="33A4F739">
      <w:pPr>
        <w:spacing w:line="360" w:lineRule="auto"/>
        <w:rPr>
          <w:rFonts w:ascii="宋体" w:hAnsi="宋体" w:cs="微软雅黑"/>
          <w:b/>
          <w:kern w:val="0"/>
          <w:szCs w:val="21"/>
          <w:lang w:val="zh-CN"/>
        </w:rPr>
      </w:pPr>
    </w:p>
    <w:p w14:paraId="4CD63E70">
      <w:pPr>
        <w:pageBreakBefore/>
        <w:spacing w:line="360" w:lineRule="auto"/>
        <w:outlineLvl w:val="1"/>
        <w:rPr>
          <w:rFonts w:ascii="宋体" w:hAnsi="宋体" w:cs="微软雅黑"/>
          <w:b/>
          <w:bCs/>
          <w:sz w:val="32"/>
          <w:szCs w:val="32"/>
          <w:lang w:val="zh-CN"/>
        </w:rPr>
      </w:pPr>
      <w:r>
        <w:rPr>
          <w:rFonts w:hint="eastAsia" w:ascii="宋体" w:hAnsi="宋体" w:cs="微软雅黑"/>
          <w:b/>
          <w:bCs/>
          <w:sz w:val="32"/>
          <w:szCs w:val="32"/>
          <w:lang w:val="zh-CN"/>
        </w:rPr>
        <w:t>附件七、技术方案等</w:t>
      </w:r>
    </w:p>
    <w:p w14:paraId="52262527">
      <w:pPr>
        <w:spacing w:line="360" w:lineRule="auto"/>
        <w:jc w:val="center"/>
        <w:rPr>
          <w:rFonts w:ascii="宋体" w:cs="微软雅黑"/>
          <w:kern w:val="0"/>
          <w:sz w:val="36"/>
          <w:szCs w:val="36"/>
        </w:rPr>
      </w:pPr>
    </w:p>
    <w:p w14:paraId="1C6C3A89">
      <w:pPr>
        <w:spacing w:line="360" w:lineRule="auto"/>
        <w:jc w:val="center"/>
        <w:rPr>
          <w:rFonts w:ascii="宋体" w:cs="微软雅黑"/>
          <w:kern w:val="0"/>
          <w:lang w:val="zh-CN"/>
        </w:rPr>
      </w:pPr>
      <w:r>
        <w:rPr>
          <w:rFonts w:hint="eastAsia" w:ascii="宋体" w:hAnsi="宋体" w:cs="微软雅黑"/>
          <w:kern w:val="0"/>
          <w:lang w:val="zh-CN"/>
        </w:rPr>
        <w:t>（包含但不限于评分办法中的得分点内容，格式自拟）</w:t>
      </w:r>
    </w:p>
    <w:p w14:paraId="7F0E6CC9">
      <w:pPr>
        <w:pStyle w:val="429"/>
        <w:spacing w:line="360" w:lineRule="auto"/>
        <w:rPr>
          <w:rFonts w:ascii="宋体" w:cs="微软雅黑"/>
          <w:sz w:val="21"/>
          <w:lang w:val="zh-CN"/>
        </w:rPr>
      </w:pPr>
    </w:p>
    <w:p w14:paraId="6770651C">
      <w:pPr>
        <w:pStyle w:val="429"/>
        <w:spacing w:line="360" w:lineRule="auto"/>
      </w:pPr>
    </w:p>
    <w:p w14:paraId="5DE3DA62">
      <w:pPr>
        <w:pStyle w:val="429"/>
        <w:spacing w:line="360" w:lineRule="auto"/>
      </w:pPr>
    </w:p>
    <w:p w14:paraId="093DBB12">
      <w:pPr>
        <w:pStyle w:val="429"/>
        <w:spacing w:line="360" w:lineRule="auto"/>
      </w:pPr>
    </w:p>
    <w:p w14:paraId="203E505F">
      <w:pPr>
        <w:pageBreakBefore/>
        <w:spacing w:line="360" w:lineRule="auto"/>
        <w:outlineLvl w:val="1"/>
        <w:rPr>
          <w:rFonts w:ascii="宋体" w:hAnsi="宋体" w:cs="微软雅黑"/>
          <w:b/>
          <w:bCs/>
          <w:sz w:val="32"/>
          <w:szCs w:val="32"/>
          <w:lang w:val="zh-CN"/>
        </w:rPr>
      </w:pPr>
      <w:r>
        <w:rPr>
          <w:rFonts w:hint="eastAsia" w:ascii="宋体" w:hAnsi="宋体" w:cs="微软雅黑"/>
          <w:b/>
          <w:bCs/>
          <w:sz w:val="32"/>
          <w:szCs w:val="32"/>
          <w:lang w:val="zh-CN"/>
        </w:rPr>
        <w:t>附件八、供应商认为需要提供的其他资格证明文件和商务资料等。</w:t>
      </w:r>
    </w:p>
    <w:p w14:paraId="119E1425">
      <w:pPr>
        <w:spacing w:line="360" w:lineRule="auto"/>
        <w:rPr>
          <w:rFonts w:ascii="宋体" w:cs="微软雅黑"/>
          <w:b/>
        </w:rPr>
      </w:pPr>
    </w:p>
    <w:p w14:paraId="78779BCA">
      <w:pPr>
        <w:spacing w:line="360" w:lineRule="auto"/>
        <w:jc w:val="center"/>
        <w:rPr>
          <w:rFonts w:ascii="宋体" w:hAnsi="宋体" w:cs="微软雅黑"/>
          <w:b/>
          <w:bCs/>
          <w:sz w:val="32"/>
          <w:szCs w:val="32"/>
        </w:rPr>
      </w:pPr>
      <w:r>
        <w:rPr>
          <w:rFonts w:hint="eastAsia" w:ascii="宋体" w:hAnsi="宋体" w:cs="微软雅黑"/>
          <w:b/>
          <w:bCs/>
          <w:sz w:val="32"/>
          <w:szCs w:val="32"/>
        </w:rPr>
        <w:t>其他资格证明文件和商务资料等</w:t>
      </w:r>
    </w:p>
    <w:p w14:paraId="1FA0981C">
      <w:pPr>
        <w:spacing w:line="360" w:lineRule="auto"/>
        <w:jc w:val="center"/>
        <w:rPr>
          <w:rFonts w:ascii="宋体" w:hAnsi="宋体" w:cs="微软雅黑"/>
          <w:bCs/>
          <w:sz w:val="28"/>
          <w:szCs w:val="32"/>
        </w:rPr>
      </w:pPr>
    </w:p>
    <w:p w14:paraId="33BD78B1">
      <w:pPr>
        <w:spacing w:line="360" w:lineRule="auto"/>
        <w:jc w:val="left"/>
        <w:rPr>
          <w:rFonts w:ascii="宋体" w:cs="微软雅黑"/>
          <w:b/>
          <w:bCs/>
          <w:sz w:val="32"/>
          <w:szCs w:val="32"/>
        </w:rPr>
      </w:pPr>
      <w:r>
        <w:rPr>
          <w:rFonts w:hint="eastAsia" w:ascii="宋体" w:hAnsi="宋体" w:cs="微软雅黑"/>
          <w:bCs/>
          <w:sz w:val="28"/>
          <w:szCs w:val="32"/>
        </w:rPr>
        <w:t>8</w:t>
      </w:r>
      <w:r>
        <w:rPr>
          <w:rFonts w:ascii="宋体" w:hAnsi="宋体" w:cs="微软雅黑"/>
          <w:bCs/>
          <w:sz w:val="28"/>
          <w:szCs w:val="32"/>
        </w:rPr>
        <w:t>.1</w:t>
      </w:r>
      <w:r>
        <w:rPr>
          <w:rFonts w:hint="eastAsia" w:ascii="宋体" w:hAnsi="宋体" w:cs="微软雅黑"/>
          <w:bCs/>
          <w:sz w:val="28"/>
          <w:szCs w:val="32"/>
        </w:rPr>
        <w:t>其他资料</w:t>
      </w:r>
      <w:bookmarkEnd w:id="138"/>
    </w:p>
    <w:sectPr>
      <w:pgSz w:w="11906" w:h="16838"/>
      <w:pgMar w:top="567" w:right="851" w:bottom="567" w:left="851" w:header="567" w:footer="624" w:gutter="0"/>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 w:name="ˎ̥">
    <w:altName w:val="方正公文仿宋"/>
    <w:panose1 w:val="00000000000000000000"/>
    <w:charset w:val="00"/>
    <w:family w:val="auto"/>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方正公文仿宋"/>
    <w:panose1 w:val="00000000000000000000"/>
    <w:charset w:val="00"/>
    <w:family w:val="auto"/>
    <w:pitch w:val="default"/>
    <w:sig w:usb0="00000000" w:usb1="00000000" w:usb2="00000010" w:usb3="00000000" w:csb0="00040000" w:csb1="00000000"/>
  </w:font>
  <w:font w:name="苹方-简">
    <w:altName w:val="Segoe Print"/>
    <w:panose1 w:val="00000000000000000000"/>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华文楷体">
    <w:panose1 w:val="02010600040101010101"/>
    <w:charset w:val="86"/>
    <w:family w:val="auto"/>
    <w:pitch w:val="default"/>
    <w:sig w:usb0="A00002BF" w:usb1="78CF7CFB" w:usb2="00000016" w:usb3="00000000" w:csb0="6006009F" w:csb1="DFD7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KNLe">
    <w:altName w:val="Segoe Print"/>
    <w:panose1 w:val="00000000000000000000"/>
    <w:charset w:val="00"/>
    <w:family w:val="roman"/>
    <w:pitch w:val="default"/>
    <w:sig w:usb0="00000000" w:usb1="00000000" w:usb2="00000000" w:usb3="00000000" w:csb0="00000001" w:csb1="00000000"/>
  </w:font>
  <w:font w:name="Ђˎ̥">
    <w:altName w:val="Tahoma"/>
    <w:panose1 w:val="00000000000000000000"/>
    <w:charset w:val="00"/>
    <w:family w:val="auto"/>
    <w:pitch w:val="default"/>
    <w:sig w:usb0="00000000" w:usb1="00000000" w:usb2="00000000" w:usb3="00000000" w:csb0="00040001" w:csb1="00000000"/>
  </w:font>
  <w:font w:name="方正姚体">
    <w:altName w:val="宋体"/>
    <w:panose1 w:val="02010601030101010101"/>
    <w:charset w:val="86"/>
    <w:family w:val="auto"/>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1990">
    <w:pPr>
      <w:pStyle w:val="42"/>
      <w:jc w:val="center"/>
    </w:pPr>
    <w:r>
      <w:fldChar w:fldCharType="begin"/>
    </w:r>
    <w:r>
      <w:instrText xml:space="preserve">PAGE   \* MERGEFORMAT</w:instrText>
    </w:r>
    <w:r>
      <w:fldChar w:fldCharType="separate"/>
    </w:r>
    <w:r>
      <w:rPr>
        <w:lang w:val="zh-CN"/>
      </w:rPr>
      <w:t>36</w:t>
    </w:r>
    <w:r>
      <w:fldChar w:fldCharType="end"/>
    </w:r>
  </w:p>
  <w:p w14:paraId="6A708E17">
    <w:pPr>
      <w:pStyle w:val="42"/>
      <w:jc w:val="both"/>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13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C354E"/>
    <w:multiLevelType w:val="multilevel"/>
    <w:tmpl w:val="423C354E"/>
    <w:lvl w:ilvl="0" w:tentative="0">
      <w:start w:val="1"/>
      <w:numFmt w:val="decimal"/>
      <w:lvlText w:val="%1."/>
      <w:lvlJc w:val="left"/>
      <w:pPr>
        <w:tabs>
          <w:tab w:val="left" w:pos="420"/>
        </w:tabs>
        <w:ind w:left="420" w:hanging="420"/>
      </w:pPr>
    </w:lvl>
    <w:lvl w:ilvl="1" w:tentative="0">
      <w:start w:val="1"/>
      <w:numFmt w:val="bullet"/>
      <w:pStyle w:val="22"/>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05F6FA2"/>
    <w:multiLevelType w:val="multilevel"/>
    <w:tmpl w:val="605F6FA2"/>
    <w:lvl w:ilvl="0" w:tentative="0">
      <w:start w:val="1"/>
      <w:numFmt w:val="japaneseCounting"/>
      <w:pStyle w:val="487"/>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mU3MWU3MDljNWI4NTIyY2RiZjdlODEzOGM4ZGEifQ=="/>
  </w:docVars>
  <w:rsids>
    <w:rsidRoot w:val="00AB55D1"/>
    <w:rsid w:val="000006D4"/>
    <w:rsid w:val="000009BD"/>
    <w:rsid w:val="0000114D"/>
    <w:rsid w:val="00002681"/>
    <w:rsid w:val="00002908"/>
    <w:rsid w:val="00004851"/>
    <w:rsid w:val="00005CC9"/>
    <w:rsid w:val="00006DA3"/>
    <w:rsid w:val="00007207"/>
    <w:rsid w:val="000075DB"/>
    <w:rsid w:val="0000790D"/>
    <w:rsid w:val="00012068"/>
    <w:rsid w:val="000122ED"/>
    <w:rsid w:val="000129E6"/>
    <w:rsid w:val="000130D0"/>
    <w:rsid w:val="000132BF"/>
    <w:rsid w:val="0001375C"/>
    <w:rsid w:val="000138CE"/>
    <w:rsid w:val="00013F2C"/>
    <w:rsid w:val="000140ED"/>
    <w:rsid w:val="00015B53"/>
    <w:rsid w:val="0001682C"/>
    <w:rsid w:val="0001743F"/>
    <w:rsid w:val="00020BD4"/>
    <w:rsid w:val="000215CD"/>
    <w:rsid w:val="00021C91"/>
    <w:rsid w:val="0002459D"/>
    <w:rsid w:val="000245C1"/>
    <w:rsid w:val="0002503C"/>
    <w:rsid w:val="000254FE"/>
    <w:rsid w:val="000256B2"/>
    <w:rsid w:val="0002715B"/>
    <w:rsid w:val="0002748C"/>
    <w:rsid w:val="00027B8B"/>
    <w:rsid w:val="00030A79"/>
    <w:rsid w:val="000310FC"/>
    <w:rsid w:val="00031A6D"/>
    <w:rsid w:val="00031E66"/>
    <w:rsid w:val="00032310"/>
    <w:rsid w:val="0003234B"/>
    <w:rsid w:val="0003383B"/>
    <w:rsid w:val="000340D3"/>
    <w:rsid w:val="00034C95"/>
    <w:rsid w:val="00034DA8"/>
    <w:rsid w:val="00035610"/>
    <w:rsid w:val="00037FB9"/>
    <w:rsid w:val="00041017"/>
    <w:rsid w:val="0004103E"/>
    <w:rsid w:val="00041DD8"/>
    <w:rsid w:val="000422F3"/>
    <w:rsid w:val="00042539"/>
    <w:rsid w:val="00042D66"/>
    <w:rsid w:val="000430CB"/>
    <w:rsid w:val="0004358F"/>
    <w:rsid w:val="00043698"/>
    <w:rsid w:val="0004503D"/>
    <w:rsid w:val="0004505F"/>
    <w:rsid w:val="000456C6"/>
    <w:rsid w:val="00045B30"/>
    <w:rsid w:val="00046307"/>
    <w:rsid w:val="00047225"/>
    <w:rsid w:val="000478E0"/>
    <w:rsid w:val="000501E2"/>
    <w:rsid w:val="000505EC"/>
    <w:rsid w:val="00050DD7"/>
    <w:rsid w:val="00050DDC"/>
    <w:rsid w:val="00051F4F"/>
    <w:rsid w:val="00052283"/>
    <w:rsid w:val="00052D00"/>
    <w:rsid w:val="000542C1"/>
    <w:rsid w:val="00054529"/>
    <w:rsid w:val="00056429"/>
    <w:rsid w:val="00057C67"/>
    <w:rsid w:val="00060EDF"/>
    <w:rsid w:val="000615E4"/>
    <w:rsid w:val="00061C24"/>
    <w:rsid w:val="00061E9C"/>
    <w:rsid w:val="0006219F"/>
    <w:rsid w:val="00064649"/>
    <w:rsid w:val="00066C48"/>
    <w:rsid w:val="00066F38"/>
    <w:rsid w:val="00067468"/>
    <w:rsid w:val="00067690"/>
    <w:rsid w:val="00067794"/>
    <w:rsid w:val="00067976"/>
    <w:rsid w:val="00070442"/>
    <w:rsid w:val="00070C2F"/>
    <w:rsid w:val="0007125E"/>
    <w:rsid w:val="00072BC8"/>
    <w:rsid w:val="00072C49"/>
    <w:rsid w:val="000736B5"/>
    <w:rsid w:val="00073826"/>
    <w:rsid w:val="00075811"/>
    <w:rsid w:val="00075DD4"/>
    <w:rsid w:val="000774F3"/>
    <w:rsid w:val="000778E3"/>
    <w:rsid w:val="0008116A"/>
    <w:rsid w:val="00083A90"/>
    <w:rsid w:val="00083AF2"/>
    <w:rsid w:val="00083D90"/>
    <w:rsid w:val="00083DA3"/>
    <w:rsid w:val="000842BD"/>
    <w:rsid w:val="00084A04"/>
    <w:rsid w:val="000879E5"/>
    <w:rsid w:val="00087B71"/>
    <w:rsid w:val="00087F0B"/>
    <w:rsid w:val="000901EB"/>
    <w:rsid w:val="00090782"/>
    <w:rsid w:val="00091351"/>
    <w:rsid w:val="00091354"/>
    <w:rsid w:val="0009165D"/>
    <w:rsid w:val="000918BB"/>
    <w:rsid w:val="00091CEC"/>
    <w:rsid w:val="00093815"/>
    <w:rsid w:val="00093E53"/>
    <w:rsid w:val="000944ED"/>
    <w:rsid w:val="00094839"/>
    <w:rsid w:val="00094A99"/>
    <w:rsid w:val="00094E40"/>
    <w:rsid w:val="000965CC"/>
    <w:rsid w:val="00096B72"/>
    <w:rsid w:val="0009710B"/>
    <w:rsid w:val="00097217"/>
    <w:rsid w:val="000A038D"/>
    <w:rsid w:val="000A144A"/>
    <w:rsid w:val="000A1614"/>
    <w:rsid w:val="000A18B8"/>
    <w:rsid w:val="000A1E73"/>
    <w:rsid w:val="000A3B32"/>
    <w:rsid w:val="000A43A7"/>
    <w:rsid w:val="000A448F"/>
    <w:rsid w:val="000A5208"/>
    <w:rsid w:val="000A5BA7"/>
    <w:rsid w:val="000A5BEB"/>
    <w:rsid w:val="000A6C9E"/>
    <w:rsid w:val="000A70F8"/>
    <w:rsid w:val="000A7417"/>
    <w:rsid w:val="000A78DB"/>
    <w:rsid w:val="000B105A"/>
    <w:rsid w:val="000B14E8"/>
    <w:rsid w:val="000B15AD"/>
    <w:rsid w:val="000B17EF"/>
    <w:rsid w:val="000B19FF"/>
    <w:rsid w:val="000B2229"/>
    <w:rsid w:val="000B2421"/>
    <w:rsid w:val="000B3129"/>
    <w:rsid w:val="000B3168"/>
    <w:rsid w:val="000B3A94"/>
    <w:rsid w:val="000B3C86"/>
    <w:rsid w:val="000B3CA2"/>
    <w:rsid w:val="000B5DFE"/>
    <w:rsid w:val="000B5E86"/>
    <w:rsid w:val="000B6A13"/>
    <w:rsid w:val="000B7E73"/>
    <w:rsid w:val="000C3AE8"/>
    <w:rsid w:val="000C3F6C"/>
    <w:rsid w:val="000C5476"/>
    <w:rsid w:val="000D050C"/>
    <w:rsid w:val="000D142E"/>
    <w:rsid w:val="000D16EF"/>
    <w:rsid w:val="000D2169"/>
    <w:rsid w:val="000D2609"/>
    <w:rsid w:val="000D2CA2"/>
    <w:rsid w:val="000D3D3F"/>
    <w:rsid w:val="000D3FC0"/>
    <w:rsid w:val="000D4BD3"/>
    <w:rsid w:val="000D534D"/>
    <w:rsid w:val="000D5F92"/>
    <w:rsid w:val="000D60FF"/>
    <w:rsid w:val="000D69BE"/>
    <w:rsid w:val="000D6C03"/>
    <w:rsid w:val="000D7EDC"/>
    <w:rsid w:val="000E04DE"/>
    <w:rsid w:val="000E1391"/>
    <w:rsid w:val="000E2050"/>
    <w:rsid w:val="000E225F"/>
    <w:rsid w:val="000E2414"/>
    <w:rsid w:val="000E242F"/>
    <w:rsid w:val="000E358B"/>
    <w:rsid w:val="000E372D"/>
    <w:rsid w:val="000E3F50"/>
    <w:rsid w:val="000E416B"/>
    <w:rsid w:val="000E420E"/>
    <w:rsid w:val="000E5081"/>
    <w:rsid w:val="000E5581"/>
    <w:rsid w:val="000E5755"/>
    <w:rsid w:val="000E5D56"/>
    <w:rsid w:val="000E5F26"/>
    <w:rsid w:val="000E6552"/>
    <w:rsid w:val="000E6E21"/>
    <w:rsid w:val="000E7E01"/>
    <w:rsid w:val="000F052D"/>
    <w:rsid w:val="000F070C"/>
    <w:rsid w:val="000F0805"/>
    <w:rsid w:val="000F21C6"/>
    <w:rsid w:val="000F3766"/>
    <w:rsid w:val="000F646C"/>
    <w:rsid w:val="000F68D9"/>
    <w:rsid w:val="000F6D5F"/>
    <w:rsid w:val="000F7C42"/>
    <w:rsid w:val="0010042E"/>
    <w:rsid w:val="00100A97"/>
    <w:rsid w:val="0010118E"/>
    <w:rsid w:val="00102D86"/>
    <w:rsid w:val="00102FDB"/>
    <w:rsid w:val="0010337F"/>
    <w:rsid w:val="00103D6E"/>
    <w:rsid w:val="00104382"/>
    <w:rsid w:val="00106560"/>
    <w:rsid w:val="00106DE7"/>
    <w:rsid w:val="00106EBF"/>
    <w:rsid w:val="00107956"/>
    <w:rsid w:val="001109CD"/>
    <w:rsid w:val="00110F68"/>
    <w:rsid w:val="00111043"/>
    <w:rsid w:val="001113BD"/>
    <w:rsid w:val="00111A05"/>
    <w:rsid w:val="001126B5"/>
    <w:rsid w:val="001135CE"/>
    <w:rsid w:val="001138F5"/>
    <w:rsid w:val="00113965"/>
    <w:rsid w:val="001141FD"/>
    <w:rsid w:val="0011465E"/>
    <w:rsid w:val="00115CBC"/>
    <w:rsid w:val="0011761A"/>
    <w:rsid w:val="00120F4D"/>
    <w:rsid w:val="00121D94"/>
    <w:rsid w:val="0012307A"/>
    <w:rsid w:val="001230B3"/>
    <w:rsid w:val="001231E3"/>
    <w:rsid w:val="00123598"/>
    <w:rsid w:val="00123C4A"/>
    <w:rsid w:val="00123F04"/>
    <w:rsid w:val="001255FE"/>
    <w:rsid w:val="00125729"/>
    <w:rsid w:val="00125E25"/>
    <w:rsid w:val="00125FD2"/>
    <w:rsid w:val="0012683B"/>
    <w:rsid w:val="00132332"/>
    <w:rsid w:val="00133AC3"/>
    <w:rsid w:val="00133E7D"/>
    <w:rsid w:val="00136098"/>
    <w:rsid w:val="00136570"/>
    <w:rsid w:val="00136DC8"/>
    <w:rsid w:val="0013781F"/>
    <w:rsid w:val="00140252"/>
    <w:rsid w:val="001407B7"/>
    <w:rsid w:val="00140F2B"/>
    <w:rsid w:val="00141B3E"/>
    <w:rsid w:val="00141EBD"/>
    <w:rsid w:val="00142014"/>
    <w:rsid w:val="0014228E"/>
    <w:rsid w:val="0014267F"/>
    <w:rsid w:val="001428A4"/>
    <w:rsid w:val="00142B33"/>
    <w:rsid w:val="00142F91"/>
    <w:rsid w:val="00143E1C"/>
    <w:rsid w:val="00143E88"/>
    <w:rsid w:val="00145116"/>
    <w:rsid w:val="00145682"/>
    <w:rsid w:val="00145F6D"/>
    <w:rsid w:val="00146569"/>
    <w:rsid w:val="00146C4F"/>
    <w:rsid w:val="00147D5A"/>
    <w:rsid w:val="00150883"/>
    <w:rsid w:val="00151EBE"/>
    <w:rsid w:val="00152054"/>
    <w:rsid w:val="00152126"/>
    <w:rsid w:val="00153270"/>
    <w:rsid w:val="00153CEE"/>
    <w:rsid w:val="001551D1"/>
    <w:rsid w:val="0015551A"/>
    <w:rsid w:val="00155843"/>
    <w:rsid w:val="00155AEC"/>
    <w:rsid w:val="00155FF4"/>
    <w:rsid w:val="00156056"/>
    <w:rsid w:val="00156728"/>
    <w:rsid w:val="00157E34"/>
    <w:rsid w:val="001626A0"/>
    <w:rsid w:val="001631D5"/>
    <w:rsid w:val="00163B14"/>
    <w:rsid w:val="00164D5C"/>
    <w:rsid w:val="00164F72"/>
    <w:rsid w:val="001650F8"/>
    <w:rsid w:val="001664B1"/>
    <w:rsid w:val="0016792E"/>
    <w:rsid w:val="00170C62"/>
    <w:rsid w:val="001711F1"/>
    <w:rsid w:val="00171AD0"/>
    <w:rsid w:val="0017216B"/>
    <w:rsid w:val="00172234"/>
    <w:rsid w:val="00172526"/>
    <w:rsid w:val="00172BBA"/>
    <w:rsid w:val="00172D79"/>
    <w:rsid w:val="00172F2C"/>
    <w:rsid w:val="00176357"/>
    <w:rsid w:val="001771C2"/>
    <w:rsid w:val="00177B9B"/>
    <w:rsid w:val="00181254"/>
    <w:rsid w:val="00183154"/>
    <w:rsid w:val="00183B87"/>
    <w:rsid w:val="00183FA3"/>
    <w:rsid w:val="0018555A"/>
    <w:rsid w:val="00185947"/>
    <w:rsid w:val="001871E7"/>
    <w:rsid w:val="001873A8"/>
    <w:rsid w:val="00187BB2"/>
    <w:rsid w:val="00190D72"/>
    <w:rsid w:val="00191233"/>
    <w:rsid w:val="00191454"/>
    <w:rsid w:val="00191D45"/>
    <w:rsid w:val="00192651"/>
    <w:rsid w:val="0019369B"/>
    <w:rsid w:val="00193DAF"/>
    <w:rsid w:val="00194112"/>
    <w:rsid w:val="00194503"/>
    <w:rsid w:val="00194634"/>
    <w:rsid w:val="00194DB9"/>
    <w:rsid w:val="0019546A"/>
    <w:rsid w:val="00195E32"/>
    <w:rsid w:val="001964AE"/>
    <w:rsid w:val="00197E63"/>
    <w:rsid w:val="001A0A8C"/>
    <w:rsid w:val="001A0D23"/>
    <w:rsid w:val="001A0FBD"/>
    <w:rsid w:val="001A1280"/>
    <w:rsid w:val="001A235C"/>
    <w:rsid w:val="001A2BDB"/>
    <w:rsid w:val="001A3F55"/>
    <w:rsid w:val="001A53FE"/>
    <w:rsid w:val="001A5887"/>
    <w:rsid w:val="001A6A73"/>
    <w:rsid w:val="001A6F9C"/>
    <w:rsid w:val="001A74E1"/>
    <w:rsid w:val="001A7DF7"/>
    <w:rsid w:val="001B1356"/>
    <w:rsid w:val="001B15AA"/>
    <w:rsid w:val="001B1C4E"/>
    <w:rsid w:val="001B1D53"/>
    <w:rsid w:val="001B294A"/>
    <w:rsid w:val="001B2A99"/>
    <w:rsid w:val="001B3185"/>
    <w:rsid w:val="001B4223"/>
    <w:rsid w:val="001B4F4D"/>
    <w:rsid w:val="001B528A"/>
    <w:rsid w:val="001B6C91"/>
    <w:rsid w:val="001B7940"/>
    <w:rsid w:val="001C079B"/>
    <w:rsid w:val="001C0BC0"/>
    <w:rsid w:val="001C0C6E"/>
    <w:rsid w:val="001C1F65"/>
    <w:rsid w:val="001C2CF7"/>
    <w:rsid w:val="001C3070"/>
    <w:rsid w:val="001C338B"/>
    <w:rsid w:val="001C40A7"/>
    <w:rsid w:val="001C4666"/>
    <w:rsid w:val="001C4B3C"/>
    <w:rsid w:val="001C4E65"/>
    <w:rsid w:val="001C4F44"/>
    <w:rsid w:val="001C5111"/>
    <w:rsid w:val="001C54C5"/>
    <w:rsid w:val="001C6B57"/>
    <w:rsid w:val="001D0BB1"/>
    <w:rsid w:val="001D0CD5"/>
    <w:rsid w:val="001D0DF5"/>
    <w:rsid w:val="001D255B"/>
    <w:rsid w:val="001D3FB0"/>
    <w:rsid w:val="001D5D38"/>
    <w:rsid w:val="001D6389"/>
    <w:rsid w:val="001D6B55"/>
    <w:rsid w:val="001D78D2"/>
    <w:rsid w:val="001D7D54"/>
    <w:rsid w:val="001E07C8"/>
    <w:rsid w:val="001E10BF"/>
    <w:rsid w:val="001E13CF"/>
    <w:rsid w:val="001E2131"/>
    <w:rsid w:val="001E2AD5"/>
    <w:rsid w:val="001E2D9A"/>
    <w:rsid w:val="001E4FA5"/>
    <w:rsid w:val="001E5D9F"/>
    <w:rsid w:val="001E5EE3"/>
    <w:rsid w:val="001E5F10"/>
    <w:rsid w:val="001E701A"/>
    <w:rsid w:val="001E73DC"/>
    <w:rsid w:val="001E7652"/>
    <w:rsid w:val="001E7B6E"/>
    <w:rsid w:val="001F0084"/>
    <w:rsid w:val="001F0EF2"/>
    <w:rsid w:val="001F1E85"/>
    <w:rsid w:val="001F267B"/>
    <w:rsid w:val="001F2B5D"/>
    <w:rsid w:val="001F2C87"/>
    <w:rsid w:val="001F3893"/>
    <w:rsid w:val="001F44B4"/>
    <w:rsid w:val="001F47DC"/>
    <w:rsid w:val="001F48EE"/>
    <w:rsid w:val="001F597D"/>
    <w:rsid w:val="001F5C97"/>
    <w:rsid w:val="001F6031"/>
    <w:rsid w:val="001F6B93"/>
    <w:rsid w:val="001F6F05"/>
    <w:rsid w:val="001F723F"/>
    <w:rsid w:val="001F7C3E"/>
    <w:rsid w:val="00200C2D"/>
    <w:rsid w:val="00201070"/>
    <w:rsid w:val="0020301B"/>
    <w:rsid w:val="00204265"/>
    <w:rsid w:val="0020559C"/>
    <w:rsid w:val="0020598C"/>
    <w:rsid w:val="00205B2E"/>
    <w:rsid w:val="0020623E"/>
    <w:rsid w:val="0020715D"/>
    <w:rsid w:val="00207176"/>
    <w:rsid w:val="0020724D"/>
    <w:rsid w:val="00207B6D"/>
    <w:rsid w:val="00210169"/>
    <w:rsid w:val="002108B5"/>
    <w:rsid w:val="00211425"/>
    <w:rsid w:val="00211858"/>
    <w:rsid w:val="00211A10"/>
    <w:rsid w:val="00212084"/>
    <w:rsid w:val="002130C2"/>
    <w:rsid w:val="00213906"/>
    <w:rsid w:val="00213D93"/>
    <w:rsid w:val="00213EA9"/>
    <w:rsid w:val="0021524F"/>
    <w:rsid w:val="00215F3E"/>
    <w:rsid w:val="002168EE"/>
    <w:rsid w:val="00217D54"/>
    <w:rsid w:val="002204D6"/>
    <w:rsid w:val="00220CD1"/>
    <w:rsid w:val="002214B5"/>
    <w:rsid w:val="00221833"/>
    <w:rsid w:val="002220C3"/>
    <w:rsid w:val="0022295F"/>
    <w:rsid w:val="00223DE8"/>
    <w:rsid w:val="002246AD"/>
    <w:rsid w:val="00224C1C"/>
    <w:rsid w:val="00225464"/>
    <w:rsid w:val="0022688A"/>
    <w:rsid w:val="00226C47"/>
    <w:rsid w:val="00227DFD"/>
    <w:rsid w:val="00227E2C"/>
    <w:rsid w:val="00230256"/>
    <w:rsid w:val="00230612"/>
    <w:rsid w:val="00230725"/>
    <w:rsid w:val="0023113C"/>
    <w:rsid w:val="00231182"/>
    <w:rsid w:val="0023140D"/>
    <w:rsid w:val="00232F6C"/>
    <w:rsid w:val="00233197"/>
    <w:rsid w:val="002336BE"/>
    <w:rsid w:val="002344E1"/>
    <w:rsid w:val="002346A0"/>
    <w:rsid w:val="00235DC9"/>
    <w:rsid w:val="00237C48"/>
    <w:rsid w:val="00240AE9"/>
    <w:rsid w:val="00241223"/>
    <w:rsid w:val="00241A98"/>
    <w:rsid w:val="00241ED0"/>
    <w:rsid w:val="00244B38"/>
    <w:rsid w:val="00245A4B"/>
    <w:rsid w:val="00246E32"/>
    <w:rsid w:val="00246ED7"/>
    <w:rsid w:val="00247B34"/>
    <w:rsid w:val="00247C80"/>
    <w:rsid w:val="0025011A"/>
    <w:rsid w:val="002513AD"/>
    <w:rsid w:val="00252965"/>
    <w:rsid w:val="00253BB4"/>
    <w:rsid w:val="00253D94"/>
    <w:rsid w:val="00254FB0"/>
    <w:rsid w:val="002557ED"/>
    <w:rsid w:val="00256114"/>
    <w:rsid w:val="00256DDE"/>
    <w:rsid w:val="00256DFE"/>
    <w:rsid w:val="00260172"/>
    <w:rsid w:val="00264BF2"/>
    <w:rsid w:val="00265E3B"/>
    <w:rsid w:val="002661F1"/>
    <w:rsid w:val="002664A6"/>
    <w:rsid w:val="0026657C"/>
    <w:rsid w:val="00266C89"/>
    <w:rsid w:val="002673E3"/>
    <w:rsid w:val="00267A07"/>
    <w:rsid w:val="00270CE1"/>
    <w:rsid w:val="00271E89"/>
    <w:rsid w:val="0027257D"/>
    <w:rsid w:val="002729DA"/>
    <w:rsid w:val="00273654"/>
    <w:rsid w:val="00273F72"/>
    <w:rsid w:val="002750C5"/>
    <w:rsid w:val="002759A5"/>
    <w:rsid w:val="00275BA6"/>
    <w:rsid w:val="00275D9E"/>
    <w:rsid w:val="002760B0"/>
    <w:rsid w:val="002779EF"/>
    <w:rsid w:val="00280140"/>
    <w:rsid w:val="002808DE"/>
    <w:rsid w:val="00280D83"/>
    <w:rsid w:val="00282511"/>
    <w:rsid w:val="00282A0C"/>
    <w:rsid w:val="00282CF6"/>
    <w:rsid w:val="00284444"/>
    <w:rsid w:val="00284545"/>
    <w:rsid w:val="00285475"/>
    <w:rsid w:val="00286BC0"/>
    <w:rsid w:val="00286E70"/>
    <w:rsid w:val="00287170"/>
    <w:rsid w:val="00287C61"/>
    <w:rsid w:val="00287D4F"/>
    <w:rsid w:val="0029065B"/>
    <w:rsid w:val="002908F4"/>
    <w:rsid w:val="002912E0"/>
    <w:rsid w:val="00291D5B"/>
    <w:rsid w:val="002924A9"/>
    <w:rsid w:val="00292978"/>
    <w:rsid w:val="0029410B"/>
    <w:rsid w:val="0029431E"/>
    <w:rsid w:val="002944B0"/>
    <w:rsid w:val="0029483F"/>
    <w:rsid w:val="002951B1"/>
    <w:rsid w:val="002965BD"/>
    <w:rsid w:val="002976EF"/>
    <w:rsid w:val="00297B6C"/>
    <w:rsid w:val="002A0DC6"/>
    <w:rsid w:val="002A28E2"/>
    <w:rsid w:val="002A2912"/>
    <w:rsid w:val="002A3016"/>
    <w:rsid w:val="002A3E2A"/>
    <w:rsid w:val="002A42CF"/>
    <w:rsid w:val="002A4A01"/>
    <w:rsid w:val="002A5114"/>
    <w:rsid w:val="002A6EC5"/>
    <w:rsid w:val="002A703E"/>
    <w:rsid w:val="002A7BBD"/>
    <w:rsid w:val="002B0635"/>
    <w:rsid w:val="002B0796"/>
    <w:rsid w:val="002B1889"/>
    <w:rsid w:val="002B1F81"/>
    <w:rsid w:val="002B2832"/>
    <w:rsid w:val="002B3B79"/>
    <w:rsid w:val="002B447F"/>
    <w:rsid w:val="002B500B"/>
    <w:rsid w:val="002B5AA3"/>
    <w:rsid w:val="002B7200"/>
    <w:rsid w:val="002B77C4"/>
    <w:rsid w:val="002C00D5"/>
    <w:rsid w:val="002C00FE"/>
    <w:rsid w:val="002C01FE"/>
    <w:rsid w:val="002C2489"/>
    <w:rsid w:val="002C3BAB"/>
    <w:rsid w:val="002C5867"/>
    <w:rsid w:val="002C5DF6"/>
    <w:rsid w:val="002C63E3"/>
    <w:rsid w:val="002C712E"/>
    <w:rsid w:val="002C7EEE"/>
    <w:rsid w:val="002D0227"/>
    <w:rsid w:val="002D0AEA"/>
    <w:rsid w:val="002D1654"/>
    <w:rsid w:val="002D1FC1"/>
    <w:rsid w:val="002D2A3D"/>
    <w:rsid w:val="002D33BF"/>
    <w:rsid w:val="002D4382"/>
    <w:rsid w:val="002D46D2"/>
    <w:rsid w:val="002D4E88"/>
    <w:rsid w:val="002D5802"/>
    <w:rsid w:val="002D5828"/>
    <w:rsid w:val="002D5AF2"/>
    <w:rsid w:val="002D6998"/>
    <w:rsid w:val="002E055B"/>
    <w:rsid w:val="002E1AD0"/>
    <w:rsid w:val="002E2647"/>
    <w:rsid w:val="002E2B1D"/>
    <w:rsid w:val="002E2D13"/>
    <w:rsid w:val="002E2D42"/>
    <w:rsid w:val="002E4D55"/>
    <w:rsid w:val="002E67AA"/>
    <w:rsid w:val="002E6AFC"/>
    <w:rsid w:val="002E7478"/>
    <w:rsid w:val="002E749A"/>
    <w:rsid w:val="002E79FB"/>
    <w:rsid w:val="002F0F8B"/>
    <w:rsid w:val="002F283E"/>
    <w:rsid w:val="002F2E2C"/>
    <w:rsid w:val="002F30C3"/>
    <w:rsid w:val="002F3877"/>
    <w:rsid w:val="002F3E15"/>
    <w:rsid w:val="002F4353"/>
    <w:rsid w:val="002F5293"/>
    <w:rsid w:val="002F5A19"/>
    <w:rsid w:val="002F5DC2"/>
    <w:rsid w:val="002F6C88"/>
    <w:rsid w:val="002F7152"/>
    <w:rsid w:val="002F7C75"/>
    <w:rsid w:val="00300984"/>
    <w:rsid w:val="00301111"/>
    <w:rsid w:val="00301308"/>
    <w:rsid w:val="00302A4B"/>
    <w:rsid w:val="00303974"/>
    <w:rsid w:val="00304851"/>
    <w:rsid w:val="00305092"/>
    <w:rsid w:val="00305A26"/>
    <w:rsid w:val="003067FE"/>
    <w:rsid w:val="00306DB1"/>
    <w:rsid w:val="00307B8C"/>
    <w:rsid w:val="0031069E"/>
    <w:rsid w:val="00312981"/>
    <w:rsid w:val="00313020"/>
    <w:rsid w:val="0031318C"/>
    <w:rsid w:val="003131C6"/>
    <w:rsid w:val="00313562"/>
    <w:rsid w:val="003148D0"/>
    <w:rsid w:val="00315FF2"/>
    <w:rsid w:val="0031638E"/>
    <w:rsid w:val="00316534"/>
    <w:rsid w:val="00317433"/>
    <w:rsid w:val="003174FE"/>
    <w:rsid w:val="00320224"/>
    <w:rsid w:val="003222EF"/>
    <w:rsid w:val="003227FD"/>
    <w:rsid w:val="00322D44"/>
    <w:rsid w:val="003232EB"/>
    <w:rsid w:val="00323FFF"/>
    <w:rsid w:val="003243A1"/>
    <w:rsid w:val="003255F6"/>
    <w:rsid w:val="00326176"/>
    <w:rsid w:val="00327681"/>
    <w:rsid w:val="003302EC"/>
    <w:rsid w:val="003312D0"/>
    <w:rsid w:val="0033170A"/>
    <w:rsid w:val="0033229E"/>
    <w:rsid w:val="00332A24"/>
    <w:rsid w:val="00333187"/>
    <w:rsid w:val="00333261"/>
    <w:rsid w:val="00334263"/>
    <w:rsid w:val="00334385"/>
    <w:rsid w:val="00334D39"/>
    <w:rsid w:val="0033631A"/>
    <w:rsid w:val="003364B4"/>
    <w:rsid w:val="00336D80"/>
    <w:rsid w:val="00340269"/>
    <w:rsid w:val="003408E5"/>
    <w:rsid w:val="00340EB6"/>
    <w:rsid w:val="0034157B"/>
    <w:rsid w:val="0034268B"/>
    <w:rsid w:val="00342EEC"/>
    <w:rsid w:val="00343411"/>
    <w:rsid w:val="0034387D"/>
    <w:rsid w:val="00343F33"/>
    <w:rsid w:val="003454BB"/>
    <w:rsid w:val="00346D05"/>
    <w:rsid w:val="0034739C"/>
    <w:rsid w:val="00347B7B"/>
    <w:rsid w:val="00350531"/>
    <w:rsid w:val="003512F0"/>
    <w:rsid w:val="003513DE"/>
    <w:rsid w:val="003514B9"/>
    <w:rsid w:val="00351A96"/>
    <w:rsid w:val="00352B94"/>
    <w:rsid w:val="00352F07"/>
    <w:rsid w:val="00352F14"/>
    <w:rsid w:val="00353163"/>
    <w:rsid w:val="00353628"/>
    <w:rsid w:val="0035487B"/>
    <w:rsid w:val="003548FB"/>
    <w:rsid w:val="0035512C"/>
    <w:rsid w:val="00355310"/>
    <w:rsid w:val="00355496"/>
    <w:rsid w:val="00355CA4"/>
    <w:rsid w:val="00355EFD"/>
    <w:rsid w:val="00355FDB"/>
    <w:rsid w:val="00356DC5"/>
    <w:rsid w:val="003577D5"/>
    <w:rsid w:val="00357C97"/>
    <w:rsid w:val="00357E8D"/>
    <w:rsid w:val="003602CD"/>
    <w:rsid w:val="0036101A"/>
    <w:rsid w:val="00361986"/>
    <w:rsid w:val="00362669"/>
    <w:rsid w:val="003628EC"/>
    <w:rsid w:val="00362E1D"/>
    <w:rsid w:val="00363121"/>
    <w:rsid w:val="00363A63"/>
    <w:rsid w:val="00363AA4"/>
    <w:rsid w:val="00363E72"/>
    <w:rsid w:val="00364E26"/>
    <w:rsid w:val="00364E77"/>
    <w:rsid w:val="00365188"/>
    <w:rsid w:val="003653FC"/>
    <w:rsid w:val="0036616D"/>
    <w:rsid w:val="00366BB1"/>
    <w:rsid w:val="00366D46"/>
    <w:rsid w:val="00367342"/>
    <w:rsid w:val="00367AC5"/>
    <w:rsid w:val="00367F4D"/>
    <w:rsid w:val="00367FB0"/>
    <w:rsid w:val="0037008B"/>
    <w:rsid w:val="00370BA7"/>
    <w:rsid w:val="00370DEF"/>
    <w:rsid w:val="00371069"/>
    <w:rsid w:val="0037153E"/>
    <w:rsid w:val="0037158F"/>
    <w:rsid w:val="00371C4B"/>
    <w:rsid w:val="003725E0"/>
    <w:rsid w:val="00372D33"/>
    <w:rsid w:val="00372E26"/>
    <w:rsid w:val="003731A5"/>
    <w:rsid w:val="00373655"/>
    <w:rsid w:val="00373B09"/>
    <w:rsid w:val="00374409"/>
    <w:rsid w:val="00374BB0"/>
    <w:rsid w:val="00374F12"/>
    <w:rsid w:val="003756CD"/>
    <w:rsid w:val="00375BF0"/>
    <w:rsid w:val="00376A3C"/>
    <w:rsid w:val="00377226"/>
    <w:rsid w:val="0037749A"/>
    <w:rsid w:val="003775E6"/>
    <w:rsid w:val="003821FF"/>
    <w:rsid w:val="00384206"/>
    <w:rsid w:val="00384497"/>
    <w:rsid w:val="003848D5"/>
    <w:rsid w:val="00384AA2"/>
    <w:rsid w:val="003859B5"/>
    <w:rsid w:val="00385B27"/>
    <w:rsid w:val="0038610A"/>
    <w:rsid w:val="00386662"/>
    <w:rsid w:val="00386763"/>
    <w:rsid w:val="00386C9F"/>
    <w:rsid w:val="00387214"/>
    <w:rsid w:val="00387848"/>
    <w:rsid w:val="00391186"/>
    <w:rsid w:val="00391311"/>
    <w:rsid w:val="00392427"/>
    <w:rsid w:val="00393564"/>
    <w:rsid w:val="00393A41"/>
    <w:rsid w:val="00394A02"/>
    <w:rsid w:val="00396EBA"/>
    <w:rsid w:val="00396F49"/>
    <w:rsid w:val="00397595"/>
    <w:rsid w:val="003A0393"/>
    <w:rsid w:val="003A0882"/>
    <w:rsid w:val="003A0F3F"/>
    <w:rsid w:val="003A203F"/>
    <w:rsid w:val="003A2CE9"/>
    <w:rsid w:val="003A2DC9"/>
    <w:rsid w:val="003A3F02"/>
    <w:rsid w:val="003A5B02"/>
    <w:rsid w:val="003A5C47"/>
    <w:rsid w:val="003A5D25"/>
    <w:rsid w:val="003A6351"/>
    <w:rsid w:val="003A6753"/>
    <w:rsid w:val="003A74AF"/>
    <w:rsid w:val="003A74D7"/>
    <w:rsid w:val="003A76EC"/>
    <w:rsid w:val="003A7A5F"/>
    <w:rsid w:val="003A7FE4"/>
    <w:rsid w:val="003B0429"/>
    <w:rsid w:val="003B0659"/>
    <w:rsid w:val="003B0D7B"/>
    <w:rsid w:val="003B1366"/>
    <w:rsid w:val="003B25CC"/>
    <w:rsid w:val="003B681D"/>
    <w:rsid w:val="003B6FEC"/>
    <w:rsid w:val="003B7E1D"/>
    <w:rsid w:val="003C0BA9"/>
    <w:rsid w:val="003C0C62"/>
    <w:rsid w:val="003C1547"/>
    <w:rsid w:val="003C2F90"/>
    <w:rsid w:val="003C3B3E"/>
    <w:rsid w:val="003C3EC6"/>
    <w:rsid w:val="003C4D34"/>
    <w:rsid w:val="003C4E4B"/>
    <w:rsid w:val="003C6702"/>
    <w:rsid w:val="003C6830"/>
    <w:rsid w:val="003C6B06"/>
    <w:rsid w:val="003C6DD8"/>
    <w:rsid w:val="003C739D"/>
    <w:rsid w:val="003D02B6"/>
    <w:rsid w:val="003D0319"/>
    <w:rsid w:val="003D0681"/>
    <w:rsid w:val="003D0CB8"/>
    <w:rsid w:val="003D12FC"/>
    <w:rsid w:val="003D2510"/>
    <w:rsid w:val="003D3C61"/>
    <w:rsid w:val="003D3C74"/>
    <w:rsid w:val="003D4934"/>
    <w:rsid w:val="003D538B"/>
    <w:rsid w:val="003D634B"/>
    <w:rsid w:val="003D6CD2"/>
    <w:rsid w:val="003D6E2C"/>
    <w:rsid w:val="003D6F37"/>
    <w:rsid w:val="003D6F77"/>
    <w:rsid w:val="003D72F6"/>
    <w:rsid w:val="003D7B5D"/>
    <w:rsid w:val="003E0754"/>
    <w:rsid w:val="003E14FD"/>
    <w:rsid w:val="003E1778"/>
    <w:rsid w:val="003E186C"/>
    <w:rsid w:val="003E31AA"/>
    <w:rsid w:val="003E3633"/>
    <w:rsid w:val="003E48D4"/>
    <w:rsid w:val="003E4A8C"/>
    <w:rsid w:val="003E4EAF"/>
    <w:rsid w:val="003E5DE8"/>
    <w:rsid w:val="003E60AF"/>
    <w:rsid w:val="003E624E"/>
    <w:rsid w:val="003E6DEF"/>
    <w:rsid w:val="003E7A18"/>
    <w:rsid w:val="003F01D3"/>
    <w:rsid w:val="003F1B78"/>
    <w:rsid w:val="003F1CFC"/>
    <w:rsid w:val="003F25D1"/>
    <w:rsid w:val="003F2EAB"/>
    <w:rsid w:val="003F2ED1"/>
    <w:rsid w:val="003F3082"/>
    <w:rsid w:val="003F35C2"/>
    <w:rsid w:val="003F39B5"/>
    <w:rsid w:val="003F3D0A"/>
    <w:rsid w:val="003F49E6"/>
    <w:rsid w:val="003F4DC0"/>
    <w:rsid w:val="003F55B5"/>
    <w:rsid w:val="003F5964"/>
    <w:rsid w:val="003F5E51"/>
    <w:rsid w:val="003F6DAB"/>
    <w:rsid w:val="003F7067"/>
    <w:rsid w:val="003F7B57"/>
    <w:rsid w:val="00400198"/>
    <w:rsid w:val="00400B6A"/>
    <w:rsid w:val="00400E06"/>
    <w:rsid w:val="004013F7"/>
    <w:rsid w:val="00402655"/>
    <w:rsid w:val="004026FB"/>
    <w:rsid w:val="00402C7E"/>
    <w:rsid w:val="00402C90"/>
    <w:rsid w:val="00402F09"/>
    <w:rsid w:val="00403443"/>
    <w:rsid w:val="00403AA4"/>
    <w:rsid w:val="00403E97"/>
    <w:rsid w:val="004045F7"/>
    <w:rsid w:val="0040462A"/>
    <w:rsid w:val="00404AE4"/>
    <w:rsid w:val="004057E2"/>
    <w:rsid w:val="00405E6F"/>
    <w:rsid w:val="00406DBB"/>
    <w:rsid w:val="00407A19"/>
    <w:rsid w:val="00407B46"/>
    <w:rsid w:val="00407CA3"/>
    <w:rsid w:val="004101F1"/>
    <w:rsid w:val="00410290"/>
    <w:rsid w:val="00410926"/>
    <w:rsid w:val="0041134D"/>
    <w:rsid w:val="004118BA"/>
    <w:rsid w:val="004130D3"/>
    <w:rsid w:val="004132EE"/>
    <w:rsid w:val="00413BE3"/>
    <w:rsid w:val="00413CF7"/>
    <w:rsid w:val="00413EA9"/>
    <w:rsid w:val="00416AD8"/>
    <w:rsid w:val="0041738C"/>
    <w:rsid w:val="00420298"/>
    <w:rsid w:val="00420FE9"/>
    <w:rsid w:val="004210DE"/>
    <w:rsid w:val="00421EB6"/>
    <w:rsid w:val="00423B3C"/>
    <w:rsid w:val="0042550A"/>
    <w:rsid w:val="00425A61"/>
    <w:rsid w:val="00425B6C"/>
    <w:rsid w:val="0042609A"/>
    <w:rsid w:val="00427720"/>
    <w:rsid w:val="00431D7A"/>
    <w:rsid w:val="00431E30"/>
    <w:rsid w:val="004325F4"/>
    <w:rsid w:val="00432BC0"/>
    <w:rsid w:val="00432CD7"/>
    <w:rsid w:val="0043357F"/>
    <w:rsid w:val="004335E0"/>
    <w:rsid w:val="00433EB9"/>
    <w:rsid w:val="0043464C"/>
    <w:rsid w:val="00434A45"/>
    <w:rsid w:val="00435BC5"/>
    <w:rsid w:val="004365FE"/>
    <w:rsid w:val="00437431"/>
    <w:rsid w:val="00440198"/>
    <w:rsid w:val="004401D3"/>
    <w:rsid w:val="004402A1"/>
    <w:rsid w:val="00441678"/>
    <w:rsid w:val="00441EA7"/>
    <w:rsid w:val="004425CD"/>
    <w:rsid w:val="0044355E"/>
    <w:rsid w:val="004444CA"/>
    <w:rsid w:val="00444552"/>
    <w:rsid w:val="00444CDD"/>
    <w:rsid w:val="00444F20"/>
    <w:rsid w:val="00447955"/>
    <w:rsid w:val="00450C5E"/>
    <w:rsid w:val="00451CC3"/>
    <w:rsid w:val="00451E4F"/>
    <w:rsid w:val="00451FFB"/>
    <w:rsid w:val="0045289B"/>
    <w:rsid w:val="004534D4"/>
    <w:rsid w:val="00453580"/>
    <w:rsid w:val="004537E8"/>
    <w:rsid w:val="00453B59"/>
    <w:rsid w:val="0045456D"/>
    <w:rsid w:val="00454590"/>
    <w:rsid w:val="004559EE"/>
    <w:rsid w:val="00456DAA"/>
    <w:rsid w:val="004575AC"/>
    <w:rsid w:val="004579EB"/>
    <w:rsid w:val="004604F0"/>
    <w:rsid w:val="00460545"/>
    <w:rsid w:val="00460C17"/>
    <w:rsid w:val="00463BE4"/>
    <w:rsid w:val="004646B6"/>
    <w:rsid w:val="00465E81"/>
    <w:rsid w:val="00467B4F"/>
    <w:rsid w:val="00470178"/>
    <w:rsid w:val="00470C2B"/>
    <w:rsid w:val="00470E06"/>
    <w:rsid w:val="00471D4C"/>
    <w:rsid w:val="00473C3B"/>
    <w:rsid w:val="00474CFA"/>
    <w:rsid w:val="00475521"/>
    <w:rsid w:val="0047576A"/>
    <w:rsid w:val="00476104"/>
    <w:rsid w:val="004767DE"/>
    <w:rsid w:val="00477FB7"/>
    <w:rsid w:val="00480296"/>
    <w:rsid w:val="0048031F"/>
    <w:rsid w:val="004803C1"/>
    <w:rsid w:val="004809E0"/>
    <w:rsid w:val="00482503"/>
    <w:rsid w:val="00482AAE"/>
    <w:rsid w:val="00483286"/>
    <w:rsid w:val="00483B3A"/>
    <w:rsid w:val="00485044"/>
    <w:rsid w:val="00485138"/>
    <w:rsid w:val="0048536F"/>
    <w:rsid w:val="004858B1"/>
    <w:rsid w:val="00486CB8"/>
    <w:rsid w:val="00487148"/>
    <w:rsid w:val="00490CBC"/>
    <w:rsid w:val="00490CBE"/>
    <w:rsid w:val="00491BD3"/>
    <w:rsid w:val="00492354"/>
    <w:rsid w:val="00492B61"/>
    <w:rsid w:val="004943E1"/>
    <w:rsid w:val="0049486F"/>
    <w:rsid w:val="00495B0B"/>
    <w:rsid w:val="00496B6A"/>
    <w:rsid w:val="00497346"/>
    <w:rsid w:val="00497510"/>
    <w:rsid w:val="004A00D0"/>
    <w:rsid w:val="004A0FA5"/>
    <w:rsid w:val="004A1336"/>
    <w:rsid w:val="004A152C"/>
    <w:rsid w:val="004A38E8"/>
    <w:rsid w:val="004A3C5A"/>
    <w:rsid w:val="004A3F79"/>
    <w:rsid w:val="004A4109"/>
    <w:rsid w:val="004A4934"/>
    <w:rsid w:val="004A53F7"/>
    <w:rsid w:val="004A5A44"/>
    <w:rsid w:val="004A694C"/>
    <w:rsid w:val="004A6CF7"/>
    <w:rsid w:val="004B0A22"/>
    <w:rsid w:val="004B0BA7"/>
    <w:rsid w:val="004B2DB5"/>
    <w:rsid w:val="004B319B"/>
    <w:rsid w:val="004B4109"/>
    <w:rsid w:val="004B4159"/>
    <w:rsid w:val="004B5198"/>
    <w:rsid w:val="004B52D7"/>
    <w:rsid w:val="004B6A8E"/>
    <w:rsid w:val="004B75F1"/>
    <w:rsid w:val="004C24A0"/>
    <w:rsid w:val="004C2890"/>
    <w:rsid w:val="004C43A3"/>
    <w:rsid w:val="004C4D58"/>
    <w:rsid w:val="004C698F"/>
    <w:rsid w:val="004C7764"/>
    <w:rsid w:val="004D01BF"/>
    <w:rsid w:val="004D0E7A"/>
    <w:rsid w:val="004D1094"/>
    <w:rsid w:val="004D10D0"/>
    <w:rsid w:val="004D1F96"/>
    <w:rsid w:val="004D29FF"/>
    <w:rsid w:val="004D2B51"/>
    <w:rsid w:val="004D2DAA"/>
    <w:rsid w:val="004D33AC"/>
    <w:rsid w:val="004D3958"/>
    <w:rsid w:val="004D64D5"/>
    <w:rsid w:val="004D7E81"/>
    <w:rsid w:val="004E0240"/>
    <w:rsid w:val="004E0364"/>
    <w:rsid w:val="004E03C3"/>
    <w:rsid w:val="004E0413"/>
    <w:rsid w:val="004E1ACB"/>
    <w:rsid w:val="004E1D15"/>
    <w:rsid w:val="004E274E"/>
    <w:rsid w:val="004E2801"/>
    <w:rsid w:val="004E3195"/>
    <w:rsid w:val="004E3650"/>
    <w:rsid w:val="004E7179"/>
    <w:rsid w:val="004E7ABC"/>
    <w:rsid w:val="004F013C"/>
    <w:rsid w:val="004F08B9"/>
    <w:rsid w:val="004F0C30"/>
    <w:rsid w:val="004F0DB2"/>
    <w:rsid w:val="004F0FB3"/>
    <w:rsid w:val="004F2C07"/>
    <w:rsid w:val="004F3A9E"/>
    <w:rsid w:val="004F3B21"/>
    <w:rsid w:val="004F3DFD"/>
    <w:rsid w:val="004F4509"/>
    <w:rsid w:val="004F49E4"/>
    <w:rsid w:val="004F576D"/>
    <w:rsid w:val="004F5873"/>
    <w:rsid w:val="004F5DE8"/>
    <w:rsid w:val="004F653C"/>
    <w:rsid w:val="004F6A72"/>
    <w:rsid w:val="004F6CFB"/>
    <w:rsid w:val="004F79E6"/>
    <w:rsid w:val="0050249A"/>
    <w:rsid w:val="005026B1"/>
    <w:rsid w:val="00502E36"/>
    <w:rsid w:val="005038B4"/>
    <w:rsid w:val="005041DB"/>
    <w:rsid w:val="005043CF"/>
    <w:rsid w:val="005052A4"/>
    <w:rsid w:val="00505DEB"/>
    <w:rsid w:val="00506423"/>
    <w:rsid w:val="00506948"/>
    <w:rsid w:val="00506CC2"/>
    <w:rsid w:val="00510DE2"/>
    <w:rsid w:val="00510F7E"/>
    <w:rsid w:val="00511DDD"/>
    <w:rsid w:val="005120C5"/>
    <w:rsid w:val="00512B05"/>
    <w:rsid w:val="00512D8E"/>
    <w:rsid w:val="00513C7F"/>
    <w:rsid w:val="005144B7"/>
    <w:rsid w:val="0051509C"/>
    <w:rsid w:val="00515757"/>
    <w:rsid w:val="00515950"/>
    <w:rsid w:val="00515EFF"/>
    <w:rsid w:val="005167EC"/>
    <w:rsid w:val="00516F7E"/>
    <w:rsid w:val="00516FCB"/>
    <w:rsid w:val="00517D91"/>
    <w:rsid w:val="0052025F"/>
    <w:rsid w:val="00520F97"/>
    <w:rsid w:val="005246C1"/>
    <w:rsid w:val="00524EF1"/>
    <w:rsid w:val="00525A21"/>
    <w:rsid w:val="005262B1"/>
    <w:rsid w:val="00526EB9"/>
    <w:rsid w:val="00527816"/>
    <w:rsid w:val="00527FE8"/>
    <w:rsid w:val="00530E21"/>
    <w:rsid w:val="00531776"/>
    <w:rsid w:val="00532397"/>
    <w:rsid w:val="00532758"/>
    <w:rsid w:val="00532A3F"/>
    <w:rsid w:val="00533875"/>
    <w:rsid w:val="00533EFC"/>
    <w:rsid w:val="0053414C"/>
    <w:rsid w:val="005348ED"/>
    <w:rsid w:val="00534CCF"/>
    <w:rsid w:val="005357AE"/>
    <w:rsid w:val="00535A98"/>
    <w:rsid w:val="00536212"/>
    <w:rsid w:val="005366A2"/>
    <w:rsid w:val="00536BD4"/>
    <w:rsid w:val="00540147"/>
    <w:rsid w:val="00540B73"/>
    <w:rsid w:val="00540CBD"/>
    <w:rsid w:val="005414C2"/>
    <w:rsid w:val="005417BC"/>
    <w:rsid w:val="005418BF"/>
    <w:rsid w:val="00541BB2"/>
    <w:rsid w:val="00541DEA"/>
    <w:rsid w:val="00541E88"/>
    <w:rsid w:val="005420B0"/>
    <w:rsid w:val="00542E9E"/>
    <w:rsid w:val="005433B4"/>
    <w:rsid w:val="00543B6E"/>
    <w:rsid w:val="00543CF4"/>
    <w:rsid w:val="00544022"/>
    <w:rsid w:val="00544C34"/>
    <w:rsid w:val="00546DF6"/>
    <w:rsid w:val="00547ADE"/>
    <w:rsid w:val="005504D8"/>
    <w:rsid w:val="00550DC0"/>
    <w:rsid w:val="00551118"/>
    <w:rsid w:val="00552CC1"/>
    <w:rsid w:val="005535E8"/>
    <w:rsid w:val="00553714"/>
    <w:rsid w:val="00553AFE"/>
    <w:rsid w:val="00553C7C"/>
    <w:rsid w:val="00553E52"/>
    <w:rsid w:val="005544FA"/>
    <w:rsid w:val="0055496E"/>
    <w:rsid w:val="00554A51"/>
    <w:rsid w:val="00554B84"/>
    <w:rsid w:val="00555748"/>
    <w:rsid w:val="00556490"/>
    <w:rsid w:val="005565B1"/>
    <w:rsid w:val="00556AF6"/>
    <w:rsid w:val="0056068F"/>
    <w:rsid w:val="005617A0"/>
    <w:rsid w:val="005617CA"/>
    <w:rsid w:val="00563182"/>
    <w:rsid w:val="00564D96"/>
    <w:rsid w:val="00564E96"/>
    <w:rsid w:val="005661A7"/>
    <w:rsid w:val="00566796"/>
    <w:rsid w:val="005677E5"/>
    <w:rsid w:val="00567BAA"/>
    <w:rsid w:val="00567EB6"/>
    <w:rsid w:val="00570872"/>
    <w:rsid w:val="00571128"/>
    <w:rsid w:val="0057171B"/>
    <w:rsid w:val="0057187B"/>
    <w:rsid w:val="00571B31"/>
    <w:rsid w:val="0057314D"/>
    <w:rsid w:val="005732B7"/>
    <w:rsid w:val="005737E8"/>
    <w:rsid w:val="005760C2"/>
    <w:rsid w:val="0057707D"/>
    <w:rsid w:val="0057725F"/>
    <w:rsid w:val="0057751C"/>
    <w:rsid w:val="005775A7"/>
    <w:rsid w:val="005820D9"/>
    <w:rsid w:val="00582DA8"/>
    <w:rsid w:val="005836B7"/>
    <w:rsid w:val="00583C8F"/>
    <w:rsid w:val="005854D4"/>
    <w:rsid w:val="00586AA4"/>
    <w:rsid w:val="0059147A"/>
    <w:rsid w:val="005914AD"/>
    <w:rsid w:val="005920B8"/>
    <w:rsid w:val="00592C19"/>
    <w:rsid w:val="0059311D"/>
    <w:rsid w:val="00593BF0"/>
    <w:rsid w:val="00593CC5"/>
    <w:rsid w:val="00594C53"/>
    <w:rsid w:val="005952E5"/>
    <w:rsid w:val="00595AC0"/>
    <w:rsid w:val="00596477"/>
    <w:rsid w:val="005967F8"/>
    <w:rsid w:val="00596AF3"/>
    <w:rsid w:val="00596D65"/>
    <w:rsid w:val="00597160"/>
    <w:rsid w:val="00597EC5"/>
    <w:rsid w:val="005A0BB6"/>
    <w:rsid w:val="005A1407"/>
    <w:rsid w:val="005A1BE8"/>
    <w:rsid w:val="005A2150"/>
    <w:rsid w:val="005A21F5"/>
    <w:rsid w:val="005A22A9"/>
    <w:rsid w:val="005A2D02"/>
    <w:rsid w:val="005A3BB0"/>
    <w:rsid w:val="005A43FA"/>
    <w:rsid w:val="005A45CF"/>
    <w:rsid w:val="005A4677"/>
    <w:rsid w:val="005A5B59"/>
    <w:rsid w:val="005A6226"/>
    <w:rsid w:val="005A6985"/>
    <w:rsid w:val="005A7768"/>
    <w:rsid w:val="005B0868"/>
    <w:rsid w:val="005B1106"/>
    <w:rsid w:val="005B1919"/>
    <w:rsid w:val="005B1B4B"/>
    <w:rsid w:val="005B3EED"/>
    <w:rsid w:val="005B477D"/>
    <w:rsid w:val="005B65D6"/>
    <w:rsid w:val="005B6ED6"/>
    <w:rsid w:val="005C0151"/>
    <w:rsid w:val="005C0737"/>
    <w:rsid w:val="005C0E4B"/>
    <w:rsid w:val="005C1E10"/>
    <w:rsid w:val="005C2768"/>
    <w:rsid w:val="005C29DD"/>
    <w:rsid w:val="005C2B06"/>
    <w:rsid w:val="005C3272"/>
    <w:rsid w:val="005C556F"/>
    <w:rsid w:val="005C59A3"/>
    <w:rsid w:val="005C5D34"/>
    <w:rsid w:val="005C71C2"/>
    <w:rsid w:val="005C72A5"/>
    <w:rsid w:val="005C7C54"/>
    <w:rsid w:val="005C7FA9"/>
    <w:rsid w:val="005D04E7"/>
    <w:rsid w:val="005D093B"/>
    <w:rsid w:val="005D0DF8"/>
    <w:rsid w:val="005D1A11"/>
    <w:rsid w:val="005D2043"/>
    <w:rsid w:val="005D3433"/>
    <w:rsid w:val="005D351E"/>
    <w:rsid w:val="005D3691"/>
    <w:rsid w:val="005D3D45"/>
    <w:rsid w:val="005D3E19"/>
    <w:rsid w:val="005D436A"/>
    <w:rsid w:val="005D7764"/>
    <w:rsid w:val="005E058B"/>
    <w:rsid w:val="005E06C1"/>
    <w:rsid w:val="005E1085"/>
    <w:rsid w:val="005E1732"/>
    <w:rsid w:val="005E31D8"/>
    <w:rsid w:val="005E4808"/>
    <w:rsid w:val="005E5470"/>
    <w:rsid w:val="005E5B84"/>
    <w:rsid w:val="005E5D1A"/>
    <w:rsid w:val="005E7650"/>
    <w:rsid w:val="005F171D"/>
    <w:rsid w:val="005F1C42"/>
    <w:rsid w:val="005F34B2"/>
    <w:rsid w:val="005F3D92"/>
    <w:rsid w:val="005F6796"/>
    <w:rsid w:val="005F69DD"/>
    <w:rsid w:val="005F723F"/>
    <w:rsid w:val="005F7AF9"/>
    <w:rsid w:val="005F7BFC"/>
    <w:rsid w:val="0060181D"/>
    <w:rsid w:val="0060353A"/>
    <w:rsid w:val="00603F23"/>
    <w:rsid w:val="006041F4"/>
    <w:rsid w:val="00604BC0"/>
    <w:rsid w:val="00605AA3"/>
    <w:rsid w:val="006074FC"/>
    <w:rsid w:val="00607E22"/>
    <w:rsid w:val="00610683"/>
    <w:rsid w:val="00610AF8"/>
    <w:rsid w:val="00610DAA"/>
    <w:rsid w:val="0061155A"/>
    <w:rsid w:val="00611983"/>
    <w:rsid w:val="00611BAA"/>
    <w:rsid w:val="0061236C"/>
    <w:rsid w:val="006131A0"/>
    <w:rsid w:val="00613FB8"/>
    <w:rsid w:val="00615FC1"/>
    <w:rsid w:val="006177F9"/>
    <w:rsid w:val="00617CDC"/>
    <w:rsid w:val="00621FE8"/>
    <w:rsid w:val="006227FA"/>
    <w:rsid w:val="0062331A"/>
    <w:rsid w:val="00623ECE"/>
    <w:rsid w:val="00624EB6"/>
    <w:rsid w:val="006250F5"/>
    <w:rsid w:val="00625F78"/>
    <w:rsid w:val="006261F6"/>
    <w:rsid w:val="006271A0"/>
    <w:rsid w:val="006272DD"/>
    <w:rsid w:val="00627BD9"/>
    <w:rsid w:val="00627E39"/>
    <w:rsid w:val="00627EEF"/>
    <w:rsid w:val="006301A6"/>
    <w:rsid w:val="00630813"/>
    <w:rsid w:val="00630C26"/>
    <w:rsid w:val="00630DF5"/>
    <w:rsid w:val="00633337"/>
    <w:rsid w:val="00633643"/>
    <w:rsid w:val="00633F76"/>
    <w:rsid w:val="006340AD"/>
    <w:rsid w:val="00636C64"/>
    <w:rsid w:val="00637558"/>
    <w:rsid w:val="00637B42"/>
    <w:rsid w:val="00637BF7"/>
    <w:rsid w:val="0064026D"/>
    <w:rsid w:val="00641832"/>
    <w:rsid w:val="00641F45"/>
    <w:rsid w:val="006439A4"/>
    <w:rsid w:val="00643B3A"/>
    <w:rsid w:val="006509FC"/>
    <w:rsid w:val="00650B4F"/>
    <w:rsid w:val="00650C95"/>
    <w:rsid w:val="00650E4A"/>
    <w:rsid w:val="00650F02"/>
    <w:rsid w:val="00651BB1"/>
    <w:rsid w:val="00652528"/>
    <w:rsid w:val="0065266F"/>
    <w:rsid w:val="00653349"/>
    <w:rsid w:val="00653D75"/>
    <w:rsid w:val="006542CE"/>
    <w:rsid w:val="00654AC8"/>
    <w:rsid w:val="00655918"/>
    <w:rsid w:val="00655BE1"/>
    <w:rsid w:val="006564EE"/>
    <w:rsid w:val="006570EB"/>
    <w:rsid w:val="00657391"/>
    <w:rsid w:val="00660B19"/>
    <w:rsid w:val="00660D27"/>
    <w:rsid w:val="006613F6"/>
    <w:rsid w:val="00661807"/>
    <w:rsid w:val="00663280"/>
    <w:rsid w:val="006633E2"/>
    <w:rsid w:val="00663569"/>
    <w:rsid w:val="00663605"/>
    <w:rsid w:val="006636E9"/>
    <w:rsid w:val="006640C3"/>
    <w:rsid w:val="006648B2"/>
    <w:rsid w:val="00665678"/>
    <w:rsid w:val="00665800"/>
    <w:rsid w:val="00665870"/>
    <w:rsid w:val="00666890"/>
    <w:rsid w:val="0066757A"/>
    <w:rsid w:val="0066776D"/>
    <w:rsid w:val="0067044D"/>
    <w:rsid w:val="00670834"/>
    <w:rsid w:val="00671358"/>
    <w:rsid w:val="006719D4"/>
    <w:rsid w:val="00671BBC"/>
    <w:rsid w:val="006720EC"/>
    <w:rsid w:val="0067320A"/>
    <w:rsid w:val="0067344A"/>
    <w:rsid w:val="0067406C"/>
    <w:rsid w:val="00674D73"/>
    <w:rsid w:val="0067588C"/>
    <w:rsid w:val="00675E3B"/>
    <w:rsid w:val="0067783D"/>
    <w:rsid w:val="00677EFB"/>
    <w:rsid w:val="006802A2"/>
    <w:rsid w:val="00680917"/>
    <w:rsid w:val="00682613"/>
    <w:rsid w:val="00683448"/>
    <w:rsid w:val="006857E1"/>
    <w:rsid w:val="006859B7"/>
    <w:rsid w:val="00685BE2"/>
    <w:rsid w:val="00685C43"/>
    <w:rsid w:val="006861B0"/>
    <w:rsid w:val="00686605"/>
    <w:rsid w:val="00687749"/>
    <w:rsid w:val="00687991"/>
    <w:rsid w:val="00691A56"/>
    <w:rsid w:val="006936AE"/>
    <w:rsid w:val="006952EA"/>
    <w:rsid w:val="00695B40"/>
    <w:rsid w:val="00696702"/>
    <w:rsid w:val="006970E1"/>
    <w:rsid w:val="00697188"/>
    <w:rsid w:val="006A0D02"/>
    <w:rsid w:val="006A1797"/>
    <w:rsid w:val="006A2932"/>
    <w:rsid w:val="006A3054"/>
    <w:rsid w:val="006A3B23"/>
    <w:rsid w:val="006A3C58"/>
    <w:rsid w:val="006A403A"/>
    <w:rsid w:val="006B0078"/>
    <w:rsid w:val="006B0416"/>
    <w:rsid w:val="006B0CF7"/>
    <w:rsid w:val="006B14B2"/>
    <w:rsid w:val="006B1F6B"/>
    <w:rsid w:val="006B2235"/>
    <w:rsid w:val="006B2AFE"/>
    <w:rsid w:val="006B5161"/>
    <w:rsid w:val="006B5DEC"/>
    <w:rsid w:val="006C152F"/>
    <w:rsid w:val="006C17BB"/>
    <w:rsid w:val="006C1E74"/>
    <w:rsid w:val="006C209A"/>
    <w:rsid w:val="006C3FC7"/>
    <w:rsid w:val="006C434E"/>
    <w:rsid w:val="006C4A21"/>
    <w:rsid w:val="006C5642"/>
    <w:rsid w:val="006C587A"/>
    <w:rsid w:val="006C5C3F"/>
    <w:rsid w:val="006C5E90"/>
    <w:rsid w:val="006C618B"/>
    <w:rsid w:val="006C7C93"/>
    <w:rsid w:val="006D1153"/>
    <w:rsid w:val="006D216C"/>
    <w:rsid w:val="006D2292"/>
    <w:rsid w:val="006D2DEF"/>
    <w:rsid w:val="006D36B1"/>
    <w:rsid w:val="006D608F"/>
    <w:rsid w:val="006D7847"/>
    <w:rsid w:val="006E07DA"/>
    <w:rsid w:val="006E0D10"/>
    <w:rsid w:val="006E1595"/>
    <w:rsid w:val="006E1756"/>
    <w:rsid w:val="006E1D81"/>
    <w:rsid w:val="006E2C74"/>
    <w:rsid w:val="006E39A0"/>
    <w:rsid w:val="006E3D2F"/>
    <w:rsid w:val="006E3F04"/>
    <w:rsid w:val="006E4111"/>
    <w:rsid w:val="006E41DD"/>
    <w:rsid w:val="006E4379"/>
    <w:rsid w:val="006E48A3"/>
    <w:rsid w:val="006E4EEC"/>
    <w:rsid w:val="006F0278"/>
    <w:rsid w:val="006F0926"/>
    <w:rsid w:val="006F1097"/>
    <w:rsid w:val="006F21E0"/>
    <w:rsid w:val="006F2A0A"/>
    <w:rsid w:val="006F305C"/>
    <w:rsid w:val="006F40F9"/>
    <w:rsid w:val="006F5442"/>
    <w:rsid w:val="006F598E"/>
    <w:rsid w:val="006F66A4"/>
    <w:rsid w:val="006F6B61"/>
    <w:rsid w:val="006F7454"/>
    <w:rsid w:val="006F7544"/>
    <w:rsid w:val="006F79E6"/>
    <w:rsid w:val="006F7F75"/>
    <w:rsid w:val="007004F3"/>
    <w:rsid w:val="007008E2"/>
    <w:rsid w:val="00700BFF"/>
    <w:rsid w:val="00700F4A"/>
    <w:rsid w:val="00701258"/>
    <w:rsid w:val="00701542"/>
    <w:rsid w:val="00701706"/>
    <w:rsid w:val="0070227B"/>
    <w:rsid w:val="00704048"/>
    <w:rsid w:val="0070528B"/>
    <w:rsid w:val="007056A3"/>
    <w:rsid w:val="00705DCE"/>
    <w:rsid w:val="00706F87"/>
    <w:rsid w:val="0071030A"/>
    <w:rsid w:val="007106DB"/>
    <w:rsid w:val="00710C49"/>
    <w:rsid w:val="0071136E"/>
    <w:rsid w:val="007118DB"/>
    <w:rsid w:val="0071198F"/>
    <w:rsid w:val="00712BF9"/>
    <w:rsid w:val="00714208"/>
    <w:rsid w:val="00714520"/>
    <w:rsid w:val="007154C5"/>
    <w:rsid w:val="007158B8"/>
    <w:rsid w:val="00715D87"/>
    <w:rsid w:val="0071606A"/>
    <w:rsid w:val="007168B9"/>
    <w:rsid w:val="00716E52"/>
    <w:rsid w:val="007178B9"/>
    <w:rsid w:val="00717984"/>
    <w:rsid w:val="0072008C"/>
    <w:rsid w:val="0072108A"/>
    <w:rsid w:val="00721AD4"/>
    <w:rsid w:val="007225C8"/>
    <w:rsid w:val="007233DF"/>
    <w:rsid w:val="00723B14"/>
    <w:rsid w:val="00723C80"/>
    <w:rsid w:val="00723FB4"/>
    <w:rsid w:val="00724463"/>
    <w:rsid w:val="007266A6"/>
    <w:rsid w:val="00726B63"/>
    <w:rsid w:val="007277EE"/>
    <w:rsid w:val="00731634"/>
    <w:rsid w:val="00731CE8"/>
    <w:rsid w:val="00732384"/>
    <w:rsid w:val="0073246C"/>
    <w:rsid w:val="007340B2"/>
    <w:rsid w:val="007347A5"/>
    <w:rsid w:val="00734E0B"/>
    <w:rsid w:val="007352DC"/>
    <w:rsid w:val="00736009"/>
    <w:rsid w:val="007364BF"/>
    <w:rsid w:val="00736B0F"/>
    <w:rsid w:val="00736EE5"/>
    <w:rsid w:val="00736F38"/>
    <w:rsid w:val="007376AB"/>
    <w:rsid w:val="00737F2E"/>
    <w:rsid w:val="00737FF8"/>
    <w:rsid w:val="007403D9"/>
    <w:rsid w:val="0074088D"/>
    <w:rsid w:val="00742446"/>
    <w:rsid w:val="0074462A"/>
    <w:rsid w:val="00746794"/>
    <w:rsid w:val="007467FC"/>
    <w:rsid w:val="0074722F"/>
    <w:rsid w:val="0075139D"/>
    <w:rsid w:val="00751D32"/>
    <w:rsid w:val="00751E8A"/>
    <w:rsid w:val="00751F15"/>
    <w:rsid w:val="00752424"/>
    <w:rsid w:val="00753751"/>
    <w:rsid w:val="00753935"/>
    <w:rsid w:val="00754B61"/>
    <w:rsid w:val="007553D3"/>
    <w:rsid w:val="00756D7D"/>
    <w:rsid w:val="00756F3E"/>
    <w:rsid w:val="00756F7D"/>
    <w:rsid w:val="00757817"/>
    <w:rsid w:val="00760044"/>
    <w:rsid w:val="00760C40"/>
    <w:rsid w:val="0076115F"/>
    <w:rsid w:val="0076150B"/>
    <w:rsid w:val="007623F1"/>
    <w:rsid w:val="00762E91"/>
    <w:rsid w:val="007636A3"/>
    <w:rsid w:val="007644E4"/>
    <w:rsid w:val="0076498D"/>
    <w:rsid w:val="00764D04"/>
    <w:rsid w:val="0076628D"/>
    <w:rsid w:val="007665A6"/>
    <w:rsid w:val="00766A81"/>
    <w:rsid w:val="00767466"/>
    <w:rsid w:val="00767980"/>
    <w:rsid w:val="00767B65"/>
    <w:rsid w:val="00767D0B"/>
    <w:rsid w:val="0077137C"/>
    <w:rsid w:val="007714C5"/>
    <w:rsid w:val="00771FB5"/>
    <w:rsid w:val="00772490"/>
    <w:rsid w:val="00773178"/>
    <w:rsid w:val="0077415A"/>
    <w:rsid w:val="0077465C"/>
    <w:rsid w:val="00774999"/>
    <w:rsid w:val="00774A5B"/>
    <w:rsid w:val="007756ED"/>
    <w:rsid w:val="007757F0"/>
    <w:rsid w:val="00776D56"/>
    <w:rsid w:val="00777768"/>
    <w:rsid w:val="007807C8"/>
    <w:rsid w:val="00780B4B"/>
    <w:rsid w:val="00781F2B"/>
    <w:rsid w:val="007824AD"/>
    <w:rsid w:val="00784F0E"/>
    <w:rsid w:val="00784F9A"/>
    <w:rsid w:val="00786485"/>
    <w:rsid w:val="00786B82"/>
    <w:rsid w:val="00787C06"/>
    <w:rsid w:val="00787F06"/>
    <w:rsid w:val="007907C6"/>
    <w:rsid w:val="0079293E"/>
    <w:rsid w:val="00794205"/>
    <w:rsid w:val="00794772"/>
    <w:rsid w:val="00795006"/>
    <w:rsid w:val="007956E4"/>
    <w:rsid w:val="007957DD"/>
    <w:rsid w:val="00796FF4"/>
    <w:rsid w:val="00797023"/>
    <w:rsid w:val="007A08D3"/>
    <w:rsid w:val="007A156D"/>
    <w:rsid w:val="007A289F"/>
    <w:rsid w:val="007A31A0"/>
    <w:rsid w:val="007A366C"/>
    <w:rsid w:val="007A3A38"/>
    <w:rsid w:val="007A3C00"/>
    <w:rsid w:val="007A5640"/>
    <w:rsid w:val="007A5AE9"/>
    <w:rsid w:val="007A5BE3"/>
    <w:rsid w:val="007A5C0E"/>
    <w:rsid w:val="007A6D3B"/>
    <w:rsid w:val="007A7A0F"/>
    <w:rsid w:val="007B1D77"/>
    <w:rsid w:val="007B281F"/>
    <w:rsid w:val="007B4A6A"/>
    <w:rsid w:val="007B5078"/>
    <w:rsid w:val="007B53CD"/>
    <w:rsid w:val="007B53D1"/>
    <w:rsid w:val="007B5764"/>
    <w:rsid w:val="007B57A2"/>
    <w:rsid w:val="007B6E4A"/>
    <w:rsid w:val="007B6EF3"/>
    <w:rsid w:val="007B6F0B"/>
    <w:rsid w:val="007B757E"/>
    <w:rsid w:val="007B7A4A"/>
    <w:rsid w:val="007C0669"/>
    <w:rsid w:val="007C0788"/>
    <w:rsid w:val="007C0B0C"/>
    <w:rsid w:val="007C1B87"/>
    <w:rsid w:val="007C1E3B"/>
    <w:rsid w:val="007C20EB"/>
    <w:rsid w:val="007C22BC"/>
    <w:rsid w:val="007C27DB"/>
    <w:rsid w:val="007C2F7A"/>
    <w:rsid w:val="007C3007"/>
    <w:rsid w:val="007C381F"/>
    <w:rsid w:val="007C418E"/>
    <w:rsid w:val="007C438A"/>
    <w:rsid w:val="007C4D23"/>
    <w:rsid w:val="007C4EFD"/>
    <w:rsid w:val="007C6631"/>
    <w:rsid w:val="007C74D5"/>
    <w:rsid w:val="007C780A"/>
    <w:rsid w:val="007D1A00"/>
    <w:rsid w:val="007D1FEC"/>
    <w:rsid w:val="007D2538"/>
    <w:rsid w:val="007D276C"/>
    <w:rsid w:val="007D31A2"/>
    <w:rsid w:val="007D31EF"/>
    <w:rsid w:val="007D357E"/>
    <w:rsid w:val="007D3C4D"/>
    <w:rsid w:val="007D3E3F"/>
    <w:rsid w:val="007D3EB6"/>
    <w:rsid w:val="007D41DC"/>
    <w:rsid w:val="007D447E"/>
    <w:rsid w:val="007D496D"/>
    <w:rsid w:val="007D503B"/>
    <w:rsid w:val="007D6C2D"/>
    <w:rsid w:val="007D6E6E"/>
    <w:rsid w:val="007E024F"/>
    <w:rsid w:val="007E0315"/>
    <w:rsid w:val="007E0544"/>
    <w:rsid w:val="007E0970"/>
    <w:rsid w:val="007E0D7D"/>
    <w:rsid w:val="007E104A"/>
    <w:rsid w:val="007E1AB6"/>
    <w:rsid w:val="007E226F"/>
    <w:rsid w:val="007E28BD"/>
    <w:rsid w:val="007E28D7"/>
    <w:rsid w:val="007E5A98"/>
    <w:rsid w:val="007E7593"/>
    <w:rsid w:val="007F0BA5"/>
    <w:rsid w:val="007F143F"/>
    <w:rsid w:val="007F1845"/>
    <w:rsid w:val="007F1DD8"/>
    <w:rsid w:val="007F28C1"/>
    <w:rsid w:val="007F2DC2"/>
    <w:rsid w:val="007F3458"/>
    <w:rsid w:val="007F42E4"/>
    <w:rsid w:val="007F6354"/>
    <w:rsid w:val="00801376"/>
    <w:rsid w:val="00802184"/>
    <w:rsid w:val="00802F51"/>
    <w:rsid w:val="008031E4"/>
    <w:rsid w:val="0080325F"/>
    <w:rsid w:val="00804010"/>
    <w:rsid w:val="008045C2"/>
    <w:rsid w:val="00804C53"/>
    <w:rsid w:val="00805000"/>
    <w:rsid w:val="008051EE"/>
    <w:rsid w:val="008055A2"/>
    <w:rsid w:val="00805DDE"/>
    <w:rsid w:val="00805F99"/>
    <w:rsid w:val="0080694A"/>
    <w:rsid w:val="00807877"/>
    <w:rsid w:val="00807CA1"/>
    <w:rsid w:val="008100F2"/>
    <w:rsid w:val="00813178"/>
    <w:rsid w:val="00813A0D"/>
    <w:rsid w:val="00813C17"/>
    <w:rsid w:val="008140A4"/>
    <w:rsid w:val="0081417B"/>
    <w:rsid w:val="0081463E"/>
    <w:rsid w:val="008149EC"/>
    <w:rsid w:val="00814C69"/>
    <w:rsid w:val="008158E6"/>
    <w:rsid w:val="008167B4"/>
    <w:rsid w:val="0081688E"/>
    <w:rsid w:val="00816F08"/>
    <w:rsid w:val="008173BE"/>
    <w:rsid w:val="00817582"/>
    <w:rsid w:val="00817B62"/>
    <w:rsid w:val="008206A9"/>
    <w:rsid w:val="00820CD2"/>
    <w:rsid w:val="0082154B"/>
    <w:rsid w:val="00822897"/>
    <w:rsid w:val="00824E9E"/>
    <w:rsid w:val="00826208"/>
    <w:rsid w:val="00826B45"/>
    <w:rsid w:val="0082736F"/>
    <w:rsid w:val="00827407"/>
    <w:rsid w:val="0082776C"/>
    <w:rsid w:val="00827D70"/>
    <w:rsid w:val="008300BF"/>
    <w:rsid w:val="00830E7C"/>
    <w:rsid w:val="00830EAD"/>
    <w:rsid w:val="00831031"/>
    <w:rsid w:val="00831097"/>
    <w:rsid w:val="00831104"/>
    <w:rsid w:val="00832FEA"/>
    <w:rsid w:val="008348BC"/>
    <w:rsid w:val="008352B7"/>
    <w:rsid w:val="008352D3"/>
    <w:rsid w:val="0083702B"/>
    <w:rsid w:val="00840ADC"/>
    <w:rsid w:val="008423C3"/>
    <w:rsid w:val="008438AB"/>
    <w:rsid w:val="0084411F"/>
    <w:rsid w:val="00844B4E"/>
    <w:rsid w:val="008451EB"/>
    <w:rsid w:val="008456C9"/>
    <w:rsid w:val="00847601"/>
    <w:rsid w:val="008500DC"/>
    <w:rsid w:val="008513C4"/>
    <w:rsid w:val="00851571"/>
    <w:rsid w:val="0085166F"/>
    <w:rsid w:val="00851F89"/>
    <w:rsid w:val="00853858"/>
    <w:rsid w:val="008548A8"/>
    <w:rsid w:val="00855140"/>
    <w:rsid w:val="00860DE2"/>
    <w:rsid w:val="008616E6"/>
    <w:rsid w:val="00861956"/>
    <w:rsid w:val="008625C2"/>
    <w:rsid w:val="00862918"/>
    <w:rsid w:val="0086479A"/>
    <w:rsid w:val="0086493E"/>
    <w:rsid w:val="0086502A"/>
    <w:rsid w:val="00865223"/>
    <w:rsid w:val="0086674D"/>
    <w:rsid w:val="00866979"/>
    <w:rsid w:val="00866E95"/>
    <w:rsid w:val="00867397"/>
    <w:rsid w:val="00872C88"/>
    <w:rsid w:val="0087305E"/>
    <w:rsid w:val="00874079"/>
    <w:rsid w:val="0087442A"/>
    <w:rsid w:val="008749FD"/>
    <w:rsid w:val="00875600"/>
    <w:rsid w:val="0087579A"/>
    <w:rsid w:val="008757AB"/>
    <w:rsid w:val="00875EDC"/>
    <w:rsid w:val="0087675A"/>
    <w:rsid w:val="00876DA7"/>
    <w:rsid w:val="008812F4"/>
    <w:rsid w:val="00882623"/>
    <w:rsid w:val="00884812"/>
    <w:rsid w:val="00885182"/>
    <w:rsid w:val="008854C5"/>
    <w:rsid w:val="008854F2"/>
    <w:rsid w:val="00886876"/>
    <w:rsid w:val="0088691F"/>
    <w:rsid w:val="008873F5"/>
    <w:rsid w:val="0088758B"/>
    <w:rsid w:val="00887839"/>
    <w:rsid w:val="0089019C"/>
    <w:rsid w:val="0089057A"/>
    <w:rsid w:val="008906D2"/>
    <w:rsid w:val="00890D0E"/>
    <w:rsid w:val="00891940"/>
    <w:rsid w:val="008919A2"/>
    <w:rsid w:val="00891C63"/>
    <w:rsid w:val="00891CE9"/>
    <w:rsid w:val="00892480"/>
    <w:rsid w:val="00892C6E"/>
    <w:rsid w:val="008931A5"/>
    <w:rsid w:val="0089352E"/>
    <w:rsid w:val="00893F96"/>
    <w:rsid w:val="008948CF"/>
    <w:rsid w:val="00894B9A"/>
    <w:rsid w:val="00895100"/>
    <w:rsid w:val="00895110"/>
    <w:rsid w:val="0089512C"/>
    <w:rsid w:val="00896156"/>
    <w:rsid w:val="00896863"/>
    <w:rsid w:val="008977A2"/>
    <w:rsid w:val="00897989"/>
    <w:rsid w:val="00897D3A"/>
    <w:rsid w:val="008A15D9"/>
    <w:rsid w:val="008A16BB"/>
    <w:rsid w:val="008A1E73"/>
    <w:rsid w:val="008A1E8F"/>
    <w:rsid w:val="008A3426"/>
    <w:rsid w:val="008A4461"/>
    <w:rsid w:val="008A462C"/>
    <w:rsid w:val="008A473A"/>
    <w:rsid w:val="008A6643"/>
    <w:rsid w:val="008A754F"/>
    <w:rsid w:val="008A7E93"/>
    <w:rsid w:val="008A7FCA"/>
    <w:rsid w:val="008B037E"/>
    <w:rsid w:val="008B0A8C"/>
    <w:rsid w:val="008B0E57"/>
    <w:rsid w:val="008B15D8"/>
    <w:rsid w:val="008B17CE"/>
    <w:rsid w:val="008B18A6"/>
    <w:rsid w:val="008B380A"/>
    <w:rsid w:val="008B5AA2"/>
    <w:rsid w:val="008B640F"/>
    <w:rsid w:val="008B70E7"/>
    <w:rsid w:val="008B751B"/>
    <w:rsid w:val="008C0374"/>
    <w:rsid w:val="008C0E6F"/>
    <w:rsid w:val="008C1B3E"/>
    <w:rsid w:val="008C25BB"/>
    <w:rsid w:val="008C299C"/>
    <w:rsid w:val="008C2E92"/>
    <w:rsid w:val="008C34D6"/>
    <w:rsid w:val="008C3EB1"/>
    <w:rsid w:val="008C44DF"/>
    <w:rsid w:val="008C4E03"/>
    <w:rsid w:val="008C5D00"/>
    <w:rsid w:val="008C667C"/>
    <w:rsid w:val="008C6E2F"/>
    <w:rsid w:val="008C7669"/>
    <w:rsid w:val="008C7984"/>
    <w:rsid w:val="008D0C42"/>
    <w:rsid w:val="008D3E45"/>
    <w:rsid w:val="008D43E9"/>
    <w:rsid w:val="008D5443"/>
    <w:rsid w:val="008D5D6C"/>
    <w:rsid w:val="008D67AF"/>
    <w:rsid w:val="008D6E48"/>
    <w:rsid w:val="008D7924"/>
    <w:rsid w:val="008D7C6D"/>
    <w:rsid w:val="008E006B"/>
    <w:rsid w:val="008E2A5E"/>
    <w:rsid w:val="008E31C9"/>
    <w:rsid w:val="008E42A5"/>
    <w:rsid w:val="008E4349"/>
    <w:rsid w:val="008E4E77"/>
    <w:rsid w:val="008E5432"/>
    <w:rsid w:val="008E6B96"/>
    <w:rsid w:val="008F1812"/>
    <w:rsid w:val="008F1DDF"/>
    <w:rsid w:val="008F26F7"/>
    <w:rsid w:val="008F2C91"/>
    <w:rsid w:val="008F2E6E"/>
    <w:rsid w:val="008F3147"/>
    <w:rsid w:val="008F384D"/>
    <w:rsid w:val="008F44DF"/>
    <w:rsid w:val="008F5206"/>
    <w:rsid w:val="008F547F"/>
    <w:rsid w:val="008F58BC"/>
    <w:rsid w:val="008F5909"/>
    <w:rsid w:val="008F6480"/>
    <w:rsid w:val="008F74B1"/>
    <w:rsid w:val="009003C7"/>
    <w:rsid w:val="0090083A"/>
    <w:rsid w:val="00900D9B"/>
    <w:rsid w:val="009013B9"/>
    <w:rsid w:val="00901667"/>
    <w:rsid w:val="00902973"/>
    <w:rsid w:val="009035D2"/>
    <w:rsid w:val="00905113"/>
    <w:rsid w:val="009053B5"/>
    <w:rsid w:val="00905C55"/>
    <w:rsid w:val="009067A7"/>
    <w:rsid w:val="0090787E"/>
    <w:rsid w:val="00910257"/>
    <w:rsid w:val="00910519"/>
    <w:rsid w:val="009111C9"/>
    <w:rsid w:val="00911DC7"/>
    <w:rsid w:val="009122F0"/>
    <w:rsid w:val="00912B06"/>
    <w:rsid w:val="00913B98"/>
    <w:rsid w:val="009146F3"/>
    <w:rsid w:val="00916308"/>
    <w:rsid w:val="009173A6"/>
    <w:rsid w:val="00917947"/>
    <w:rsid w:val="00917A83"/>
    <w:rsid w:val="00917DBA"/>
    <w:rsid w:val="009223FE"/>
    <w:rsid w:val="009224E0"/>
    <w:rsid w:val="0092251E"/>
    <w:rsid w:val="00922E3F"/>
    <w:rsid w:val="009235F4"/>
    <w:rsid w:val="009238B9"/>
    <w:rsid w:val="00924592"/>
    <w:rsid w:val="00924639"/>
    <w:rsid w:val="00924818"/>
    <w:rsid w:val="00924AEC"/>
    <w:rsid w:val="00925424"/>
    <w:rsid w:val="00926A6A"/>
    <w:rsid w:val="0092766E"/>
    <w:rsid w:val="00927B9A"/>
    <w:rsid w:val="00930007"/>
    <w:rsid w:val="00930319"/>
    <w:rsid w:val="0093079F"/>
    <w:rsid w:val="00930C8F"/>
    <w:rsid w:val="00932C7A"/>
    <w:rsid w:val="00932EB6"/>
    <w:rsid w:val="0093324F"/>
    <w:rsid w:val="009333F3"/>
    <w:rsid w:val="00933E30"/>
    <w:rsid w:val="00935194"/>
    <w:rsid w:val="00935CB1"/>
    <w:rsid w:val="009365DC"/>
    <w:rsid w:val="00936D70"/>
    <w:rsid w:val="009375F1"/>
    <w:rsid w:val="00937B4E"/>
    <w:rsid w:val="00937EF6"/>
    <w:rsid w:val="00940D45"/>
    <w:rsid w:val="00940E4A"/>
    <w:rsid w:val="00941DDD"/>
    <w:rsid w:val="0094337C"/>
    <w:rsid w:val="00943560"/>
    <w:rsid w:val="009435FB"/>
    <w:rsid w:val="00943807"/>
    <w:rsid w:val="00944864"/>
    <w:rsid w:val="0094534E"/>
    <w:rsid w:val="009459FD"/>
    <w:rsid w:val="00947403"/>
    <w:rsid w:val="00947704"/>
    <w:rsid w:val="00947DF1"/>
    <w:rsid w:val="00950E82"/>
    <w:rsid w:val="009541F9"/>
    <w:rsid w:val="00955023"/>
    <w:rsid w:val="0095508C"/>
    <w:rsid w:val="00955C07"/>
    <w:rsid w:val="00955F3E"/>
    <w:rsid w:val="009560B6"/>
    <w:rsid w:val="009570A5"/>
    <w:rsid w:val="00957276"/>
    <w:rsid w:val="00957F83"/>
    <w:rsid w:val="00960758"/>
    <w:rsid w:val="009618D3"/>
    <w:rsid w:val="00961A07"/>
    <w:rsid w:val="00962033"/>
    <w:rsid w:val="0096213E"/>
    <w:rsid w:val="009628E0"/>
    <w:rsid w:val="00963047"/>
    <w:rsid w:val="009630E9"/>
    <w:rsid w:val="009630FC"/>
    <w:rsid w:val="00963C79"/>
    <w:rsid w:val="00965A20"/>
    <w:rsid w:val="0097143E"/>
    <w:rsid w:val="00971875"/>
    <w:rsid w:val="009730A7"/>
    <w:rsid w:val="00973C54"/>
    <w:rsid w:val="00974818"/>
    <w:rsid w:val="00974AF6"/>
    <w:rsid w:val="00974B48"/>
    <w:rsid w:val="00974CF6"/>
    <w:rsid w:val="00975982"/>
    <w:rsid w:val="00975AF7"/>
    <w:rsid w:val="00976320"/>
    <w:rsid w:val="00976748"/>
    <w:rsid w:val="00976851"/>
    <w:rsid w:val="00977199"/>
    <w:rsid w:val="009773C2"/>
    <w:rsid w:val="0098016C"/>
    <w:rsid w:val="00981F07"/>
    <w:rsid w:val="0098236D"/>
    <w:rsid w:val="00982BE0"/>
    <w:rsid w:val="00982C4D"/>
    <w:rsid w:val="00982DF5"/>
    <w:rsid w:val="009832C9"/>
    <w:rsid w:val="00983464"/>
    <w:rsid w:val="0098417C"/>
    <w:rsid w:val="00985F61"/>
    <w:rsid w:val="00987940"/>
    <w:rsid w:val="00990270"/>
    <w:rsid w:val="00990ABB"/>
    <w:rsid w:val="00990CF2"/>
    <w:rsid w:val="009911B5"/>
    <w:rsid w:val="0099275F"/>
    <w:rsid w:val="009942B0"/>
    <w:rsid w:val="00994A59"/>
    <w:rsid w:val="00994E64"/>
    <w:rsid w:val="00995AEB"/>
    <w:rsid w:val="00995CF4"/>
    <w:rsid w:val="00996539"/>
    <w:rsid w:val="009A01A8"/>
    <w:rsid w:val="009A08D4"/>
    <w:rsid w:val="009A08D6"/>
    <w:rsid w:val="009A0D15"/>
    <w:rsid w:val="009A14A8"/>
    <w:rsid w:val="009A21F2"/>
    <w:rsid w:val="009A26CD"/>
    <w:rsid w:val="009A2C39"/>
    <w:rsid w:val="009A2E05"/>
    <w:rsid w:val="009A4023"/>
    <w:rsid w:val="009A428C"/>
    <w:rsid w:val="009A5CD2"/>
    <w:rsid w:val="009A61BC"/>
    <w:rsid w:val="009A661F"/>
    <w:rsid w:val="009A7039"/>
    <w:rsid w:val="009B088A"/>
    <w:rsid w:val="009B151C"/>
    <w:rsid w:val="009B46A2"/>
    <w:rsid w:val="009B5B36"/>
    <w:rsid w:val="009B7203"/>
    <w:rsid w:val="009B7948"/>
    <w:rsid w:val="009B7C8F"/>
    <w:rsid w:val="009B7E85"/>
    <w:rsid w:val="009C071C"/>
    <w:rsid w:val="009C1282"/>
    <w:rsid w:val="009C1D6A"/>
    <w:rsid w:val="009C3194"/>
    <w:rsid w:val="009C34D0"/>
    <w:rsid w:val="009C357A"/>
    <w:rsid w:val="009C5943"/>
    <w:rsid w:val="009C5CD0"/>
    <w:rsid w:val="009C5E88"/>
    <w:rsid w:val="009C68B0"/>
    <w:rsid w:val="009C73DA"/>
    <w:rsid w:val="009D0844"/>
    <w:rsid w:val="009D0A49"/>
    <w:rsid w:val="009D26EB"/>
    <w:rsid w:val="009D2BB6"/>
    <w:rsid w:val="009D3057"/>
    <w:rsid w:val="009D3353"/>
    <w:rsid w:val="009D38C4"/>
    <w:rsid w:val="009D3D45"/>
    <w:rsid w:val="009D4F69"/>
    <w:rsid w:val="009D62BB"/>
    <w:rsid w:val="009D641F"/>
    <w:rsid w:val="009D69F2"/>
    <w:rsid w:val="009D6A76"/>
    <w:rsid w:val="009D7056"/>
    <w:rsid w:val="009D74E3"/>
    <w:rsid w:val="009D7788"/>
    <w:rsid w:val="009D78D8"/>
    <w:rsid w:val="009E037E"/>
    <w:rsid w:val="009E11E9"/>
    <w:rsid w:val="009E1247"/>
    <w:rsid w:val="009E137A"/>
    <w:rsid w:val="009E14B4"/>
    <w:rsid w:val="009E2106"/>
    <w:rsid w:val="009E277B"/>
    <w:rsid w:val="009E31B3"/>
    <w:rsid w:val="009E32B1"/>
    <w:rsid w:val="009E3F8A"/>
    <w:rsid w:val="009E5783"/>
    <w:rsid w:val="009E5BD2"/>
    <w:rsid w:val="009E600D"/>
    <w:rsid w:val="009E61C4"/>
    <w:rsid w:val="009E6645"/>
    <w:rsid w:val="009E7057"/>
    <w:rsid w:val="009E780C"/>
    <w:rsid w:val="009F0D79"/>
    <w:rsid w:val="009F11F4"/>
    <w:rsid w:val="009F14EB"/>
    <w:rsid w:val="009F1D7B"/>
    <w:rsid w:val="009F23A5"/>
    <w:rsid w:val="009F250D"/>
    <w:rsid w:val="009F38F2"/>
    <w:rsid w:val="009F48AB"/>
    <w:rsid w:val="009F54AE"/>
    <w:rsid w:val="009F5DA0"/>
    <w:rsid w:val="009F5F03"/>
    <w:rsid w:val="009F6674"/>
    <w:rsid w:val="009F66A2"/>
    <w:rsid w:val="009F6933"/>
    <w:rsid w:val="009F7A12"/>
    <w:rsid w:val="00A01F24"/>
    <w:rsid w:val="00A01FC5"/>
    <w:rsid w:val="00A02B75"/>
    <w:rsid w:val="00A03263"/>
    <w:rsid w:val="00A0562E"/>
    <w:rsid w:val="00A05B15"/>
    <w:rsid w:val="00A05F27"/>
    <w:rsid w:val="00A06508"/>
    <w:rsid w:val="00A0693E"/>
    <w:rsid w:val="00A137D3"/>
    <w:rsid w:val="00A1403C"/>
    <w:rsid w:val="00A159A7"/>
    <w:rsid w:val="00A15EB0"/>
    <w:rsid w:val="00A16CC6"/>
    <w:rsid w:val="00A172A1"/>
    <w:rsid w:val="00A22193"/>
    <w:rsid w:val="00A2330A"/>
    <w:rsid w:val="00A2340A"/>
    <w:rsid w:val="00A23A42"/>
    <w:rsid w:val="00A24316"/>
    <w:rsid w:val="00A25531"/>
    <w:rsid w:val="00A26A57"/>
    <w:rsid w:val="00A2780B"/>
    <w:rsid w:val="00A27A1D"/>
    <w:rsid w:val="00A30039"/>
    <w:rsid w:val="00A30254"/>
    <w:rsid w:val="00A30B81"/>
    <w:rsid w:val="00A31089"/>
    <w:rsid w:val="00A31ACF"/>
    <w:rsid w:val="00A31B95"/>
    <w:rsid w:val="00A323B1"/>
    <w:rsid w:val="00A32675"/>
    <w:rsid w:val="00A34173"/>
    <w:rsid w:val="00A35954"/>
    <w:rsid w:val="00A360C9"/>
    <w:rsid w:val="00A3644A"/>
    <w:rsid w:val="00A369E8"/>
    <w:rsid w:val="00A41477"/>
    <w:rsid w:val="00A415F0"/>
    <w:rsid w:val="00A42027"/>
    <w:rsid w:val="00A42A45"/>
    <w:rsid w:val="00A42D57"/>
    <w:rsid w:val="00A43E4B"/>
    <w:rsid w:val="00A44BA7"/>
    <w:rsid w:val="00A4542A"/>
    <w:rsid w:val="00A45621"/>
    <w:rsid w:val="00A46931"/>
    <w:rsid w:val="00A46FFB"/>
    <w:rsid w:val="00A50833"/>
    <w:rsid w:val="00A50A6D"/>
    <w:rsid w:val="00A51145"/>
    <w:rsid w:val="00A527FC"/>
    <w:rsid w:val="00A53D0B"/>
    <w:rsid w:val="00A5446E"/>
    <w:rsid w:val="00A54C34"/>
    <w:rsid w:val="00A54D7B"/>
    <w:rsid w:val="00A550C3"/>
    <w:rsid w:val="00A5534B"/>
    <w:rsid w:val="00A569CC"/>
    <w:rsid w:val="00A57C35"/>
    <w:rsid w:val="00A57DDA"/>
    <w:rsid w:val="00A606A6"/>
    <w:rsid w:val="00A60A51"/>
    <w:rsid w:val="00A644E6"/>
    <w:rsid w:val="00A65C59"/>
    <w:rsid w:val="00A673F7"/>
    <w:rsid w:val="00A67694"/>
    <w:rsid w:val="00A714D0"/>
    <w:rsid w:val="00A718AB"/>
    <w:rsid w:val="00A73449"/>
    <w:rsid w:val="00A73DC2"/>
    <w:rsid w:val="00A75124"/>
    <w:rsid w:val="00A75D94"/>
    <w:rsid w:val="00A76B70"/>
    <w:rsid w:val="00A7755D"/>
    <w:rsid w:val="00A802C8"/>
    <w:rsid w:val="00A80A57"/>
    <w:rsid w:val="00A80A93"/>
    <w:rsid w:val="00A81375"/>
    <w:rsid w:val="00A817E3"/>
    <w:rsid w:val="00A83506"/>
    <w:rsid w:val="00A84106"/>
    <w:rsid w:val="00A84902"/>
    <w:rsid w:val="00A84D75"/>
    <w:rsid w:val="00A84F68"/>
    <w:rsid w:val="00A863EC"/>
    <w:rsid w:val="00A8790E"/>
    <w:rsid w:val="00A87DBC"/>
    <w:rsid w:val="00A90D79"/>
    <w:rsid w:val="00A91627"/>
    <w:rsid w:val="00A92B62"/>
    <w:rsid w:val="00A94122"/>
    <w:rsid w:val="00A9493D"/>
    <w:rsid w:val="00A96EDD"/>
    <w:rsid w:val="00A97923"/>
    <w:rsid w:val="00AA0627"/>
    <w:rsid w:val="00AA0D58"/>
    <w:rsid w:val="00AA0F59"/>
    <w:rsid w:val="00AA1B75"/>
    <w:rsid w:val="00AA3AE0"/>
    <w:rsid w:val="00AA421E"/>
    <w:rsid w:val="00AA46AC"/>
    <w:rsid w:val="00AA5481"/>
    <w:rsid w:val="00AA5ECD"/>
    <w:rsid w:val="00AA664B"/>
    <w:rsid w:val="00AA6C21"/>
    <w:rsid w:val="00AA701A"/>
    <w:rsid w:val="00AA7719"/>
    <w:rsid w:val="00AB0905"/>
    <w:rsid w:val="00AB0F08"/>
    <w:rsid w:val="00AB1976"/>
    <w:rsid w:val="00AB1F59"/>
    <w:rsid w:val="00AB20D1"/>
    <w:rsid w:val="00AB2748"/>
    <w:rsid w:val="00AB2BCB"/>
    <w:rsid w:val="00AB3350"/>
    <w:rsid w:val="00AB3D2C"/>
    <w:rsid w:val="00AB49BC"/>
    <w:rsid w:val="00AB4EE0"/>
    <w:rsid w:val="00AB55D1"/>
    <w:rsid w:val="00AB5C79"/>
    <w:rsid w:val="00AB774D"/>
    <w:rsid w:val="00AC0368"/>
    <w:rsid w:val="00AC1425"/>
    <w:rsid w:val="00AC18D6"/>
    <w:rsid w:val="00AC2138"/>
    <w:rsid w:val="00AC4541"/>
    <w:rsid w:val="00AC4A3A"/>
    <w:rsid w:val="00AC5165"/>
    <w:rsid w:val="00AC575C"/>
    <w:rsid w:val="00AC6179"/>
    <w:rsid w:val="00AC656A"/>
    <w:rsid w:val="00AC6888"/>
    <w:rsid w:val="00AC6CED"/>
    <w:rsid w:val="00AC71B3"/>
    <w:rsid w:val="00AC7CBC"/>
    <w:rsid w:val="00AD0321"/>
    <w:rsid w:val="00AD0C5E"/>
    <w:rsid w:val="00AD16FF"/>
    <w:rsid w:val="00AD1D31"/>
    <w:rsid w:val="00AD2157"/>
    <w:rsid w:val="00AD2238"/>
    <w:rsid w:val="00AD2B35"/>
    <w:rsid w:val="00AD2CE0"/>
    <w:rsid w:val="00AD3231"/>
    <w:rsid w:val="00AD3DDE"/>
    <w:rsid w:val="00AD4619"/>
    <w:rsid w:val="00AD53F8"/>
    <w:rsid w:val="00AD5AEE"/>
    <w:rsid w:val="00AD5BCE"/>
    <w:rsid w:val="00AD7488"/>
    <w:rsid w:val="00AD7A11"/>
    <w:rsid w:val="00AE0625"/>
    <w:rsid w:val="00AE06BD"/>
    <w:rsid w:val="00AE16B4"/>
    <w:rsid w:val="00AE1780"/>
    <w:rsid w:val="00AE1AE2"/>
    <w:rsid w:val="00AE2294"/>
    <w:rsid w:val="00AE2B9B"/>
    <w:rsid w:val="00AE2FCB"/>
    <w:rsid w:val="00AE3AE0"/>
    <w:rsid w:val="00AE3CCD"/>
    <w:rsid w:val="00AE5416"/>
    <w:rsid w:val="00AE5FFF"/>
    <w:rsid w:val="00AE6A73"/>
    <w:rsid w:val="00AE6F1B"/>
    <w:rsid w:val="00AE7670"/>
    <w:rsid w:val="00AE781B"/>
    <w:rsid w:val="00AE7A93"/>
    <w:rsid w:val="00AF01F9"/>
    <w:rsid w:val="00AF02E2"/>
    <w:rsid w:val="00AF0782"/>
    <w:rsid w:val="00AF088B"/>
    <w:rsid w:val="00AF18D4"/>
    <w:rsid w:val="00AF1C5F"/>
    <w:rsid w:val="00AF1D7B"/>
    <w:rsid w:val="00AF23E8"/>
    <w:rsid w:val="00AF3088"/>
    <w:rsid w:val="00AF45CC"/>
    <w:rsid w:val="00AF5E1E"/>
    <w:rsid w:val="00AF6FC3"/>
    <w:rsid w:val="00AF74D9"/>
    <w:rsid w:val="00AF7C6A"/>
    <w:rsid w:val="00B00354"/>
    <w:rsid w:val="00B009DA"/>
    <w:rsid w:val="00B015AF"/>
    <w:rsid w:val="00B01C45"/>
    <w:rsid w:val="00B025D5"/>
    <w:rsid w:val="00B02E16"/>
    <w:rsid w:val="00B031E8"/>
    <w:rsid w:val="00B05C1C"/>
    <w:rsid w:val="00B10B00"/>
    <w:rsid w:val="00B10D78"/>
    <w:rsid w:val="00B11415"/>
    <w:rsid w:val="00B12D34"/>
    <w:rsid w:val="00B13452"/>
    <w:rsid w:val="00B13BC2"/>
    <w:rsid w:val="00B146FE"/>
    <w:rsid w:val="00B17FF0"/>
    <w:rsid w:val="00B20789"/>
    <w:rsid w:val="00B20877"/>
    <w:rsid w:val="00B22A28"/>
    <w:rsid w:val="00B22A89"/>
    <w:rsid w:val="00B23159"/>
    <w:rsid w:val="00B23AD8"/>
    <w:rsid w:val="00B23B7C"/>
    <w:rsid w:val="00B23D9F"/>
    <w:rsid w:val="00B252A1"/>
    <w:rsid w:val="00B2565A"/>
    <w:rsid w:val="00B260BC"/>
    <w:rsid w:val="00B2712D"/>
    <w:rsid w:val="00B27812"/>
    <w:rsid w:val="00B27A8C"/>
    <w:rsid w:val="00B3019F"/>
    <w:rsid w:val="00B30DC8"/>
    <w:rsid w:val="00B32E58"/>
    <w:rsid w:val="00B331F3"/>
    <w:rsid w:val="00B339DD"/>
    <w:rsid w:val="00B36B54"/>
    <w:rsid w:val="00B36C9A"/>
    <w:rsid w:val="00B3758D"/>
    <w:rsid w:val="00B376C7"/>
    <w:rsid w:val="00B37F4D"/>
    <w:rsid w:val="00B4005A"/>
    <w:rsid w:val="00B402AC"/>
    <w:rsid w:val="00B40CBA"/>
    <w:rsid w:val="00B40D5A"/>
    <w:rsid w:val="00B40F42"/>
    <w:rsid w:val="00B41002"/>
    <w:rsid w:val="00B41164"/>
    <w:rsid w:val="00B41B77"/>
    <w:rsid w:val="00B42E6D"/>
    <w:rsid w:val="00B43177"/>
    <w:rsid w:val="00B43E56"/>
    <w:rsid w:val="00B44A69"/>
    <w:rsid w:val="00B45007"/>
    <w:rsid w:val="00B4541C"/>
    <w:rsid w:val="00B45742"/>
    <w:rsid w:val="00B460C8"/>
    <w:rsid w:val="00B4693F"/>
    <w:rsid w:val="00B47EFA"/>
    <w:rsid w:val="00B50BE5"/>
    <w:rsid w:val="00B50CBF"/>
    <w:rsid w:val="00B50DC6"/>
    <w:rsid w:val="00B5278E"/>
    <w:rsid w:val="00B52B3B"/>
    <w:rsid w:val="00B52B3C"/>
    <w:rsid w:val="00B52CB0"/>
    <w:rsid w:val="00B542F5"/>
    <w:rsid w:val="00B5435B"/>
    <w:rsid w:val="00B54D34"/>
    <w:rsid w:val="00B564A6"/>
    <w:rsid w:val="00B56F12"/>
    <w:rsid w:val="00B577E4"/>
    <w:rsid w:val="00B62AA2"/>
    <w:rsid w:val="00B62E49"/>
    <w:rsid w:val="00B63D37"/>
    <w:rsid w:val="00B63E5D"/>
    <w:rsid w:val="00B657D5"/>
    <w:rsid w:val="00B6681A"/>
    <w:rsid w:val="00B67651"/>
    <w:rsid w:val="00B67EDF"/>
    <w:rsid w:val="00B701B7"/>
    <w:rsid w:val="00B70449"/>
    <w:rsid w:val="00B707A5"/>
    <w:rsid w:val="00B70E68"/>
    <w:rsid w:val="00B714CA"/>
    <w:rsid w:val="00B719DE"/>
    <w:rsid w:val="00B71C5E"/>
    <w:rsid w:val="00B71D82"/>
    <w:rsid w:val="00B71D94"/>
    <w:rsid w:val="00B732A1"/>
    <w:rsid w:val="00B7353C"/>
    <w:rsid w:val="00B73C97"/>
    <w:rsid w:val="00B73F77"/>
    <w:rsid w:val="00B74202"/>
    <w:rsid w:val="00B74425"/>
    <w:rsid w:val="00B746A1"/>
    <w:rsid w:val="00B74A8C"/>
    <w:rsid w:val="00B74E7B"/>
    <w:rsid w:val="00B75A26"/>
    <w:rsid w:val="00B75D2D"/>
    <w:rsid w:val="00B76BB0"/>
    <w:rsid w:val="00B77CAD"/>
    <w:rsid w:val="00B806F4"/>
    <w:rsid w:val="00B808EF"/>
    <w:rsid w:val="00B81BD3"/>
    <w:rsid w:val="00B827EC"/>
    <w:rsid w:val="00B83116"/>
    <w:rsid w:val="00B83D99"/>
    <w:rsid w:val="00B8568E"/>
    <w:rsid w:val="00B873D3"/>
    <w:rsid w:val="00B873FD"/>
    <w:rsid w:val="00B87764"/>
    <w:rsid w:val="00B879F0"/>
    <w:rsid w:val="00B87D1C"/>
    <w:rsid w:val="00B90FC4"/>
    <w:rsid w:val="00B9103E"/>
    <w:rsid w:val="00B91385"/>
    <w:rsid w:val="00B91EBE"/>
    <w:rsid w:val="00B936AB"/>
    <w:rsid w:val="00B937FD"/>
    <w:rsid w:val="00B94CE0"/>
    <w:rsid w:val="00B94D26"/>
    <w:rsid w:val="00B956B1"/>
    <w:rsid w:val="00B96A1E"/>
    <w:rsid w:val="00B976EA"/>
    <w:rsid w:val="00BA01A3"/>
    <w:rsid w:val="00BA0934"/>
    <w:rsid w:val="00BA0EB1"/>
    <w:rsid w:val="00BA14D8"/>
    <w:rsid w:val="00BA24A9"/>
    <w:rsid w:val="00BA2BD9"/>
    <w:rsid w:val="00BA365E"/>
    <w:rsid w:val="00BA4059"/>
    <w:rsid w:val="00BA48E3"/>
    <w:rsid w:val="00BA5FA7"/>
    <w:rsid w:val="00BA64D4"/>
    <w:rsid w:val="00BA67F6"/>
    <w:rsid w:val="00BA71C2"/>
    <w:rsid w:val="00BB0A0B"/>
    <w:rsid w:val="00BB0E64"/>
    <w:rsid w:val="00BB25B1"/>
    <w:rsid w:val="00BB320A"/>
    <w:rsid w:val="00BB342A"/>
    <w:rsid w:val="00BB3562"/>
    <w:rsid w:val="00BB3A69"/>
    <w:rsid w:val="00BB4FE5"/>
    <w:rsid w:val="00BB510E"/>
    <w:rsid w:val="00BC051C"/>
    <w:rsid w:val="00BC0B97"/>
    <w:rsid w:val="00BC11FD"/>
    <w:rsid w:val="00BC3437"/>
    <w:rsid w:val="00BC382D"/>
    <w:rsid w:val="00BC3CDF"/>
    <w:rsid w:val="00BC5619"/>
    <w:rsid w:val="00BC587C"/>
    <w:rsid w:val="00BC5DA7"/>
    <w:rsid w:val="00BC7496"/>
    <w:rsid w:val="00BC7C98"/>
    <w:rsid w:val="00BD05BB"/>
    <w:rsid w:val="00BD1093"/>
    <w:rsid w:val="00BD1695"/>
    <w:rsid w:val="00BD26F6"/>
    <w:rsid w:val="00BD30DF"/>
    <w:rsid w:val="00BD4DE4"/>
    <w:rsid w:val="00BD51E7"/>
    <w:rsid w:val="00BD5345"/>
    <w:rsid w:val="00BD5D5D"/>
    <w:rsid w:val="00BD6402"/>
    <w:rsid w:val="00BD677A"/>
    <w:rsid w:val="00BD6B9B"/>
    <w:rsid w:val="00BD6C04"/>
    <w:rsid w:val="00BD70C3"/>
    <w:rsid w:val="00BD77D8"/>
    <w:rsid w:val="00BE020D"/>
    <w:rsid w:val="00BE0833"/>
    <w:rsid w:val="00BE0BC9"/>
    <w:rsid w:val="00BE1328"/>
    <w:rsid w:val="00BE1AFF"/>
    <w:rsid w:val="00BE2578"/>
    <w:rsid w:val="00BE3169"/>
    <w:rsid w:val="00BE31AE"/>
    <w:rsid w:val="00BE347E"/>
    <w:rsid w:val="00BE405C"/>
    <w:rsid w:val="00BE5700"/>
    <w:rsid w:val="00BE7BC2"/>
    <w:rsid w:val="00BE7F21"/>
    <w:rsid w:val="00BF00EC"/>
    <w:rsid w:val="00BF0F92"/>
    <w:rsid w:val="00BF145B"/>
    <w:rsid w:val="00BF1589"/>
    <w:rsid w:val="00BF1C25"/>
    <w:rsid w:val="00BF1D18"/>
    <w:rsid w:val="00BF523D"/>
    <w:rsid w:val="00BF7242"/>
    <w:rsid w:val="00BF729D"/>
    <w:rsid w:val="00C01A45"/>
    <w:rsid w:val="00C02458"/>
    <w:rsid w:val="00C02D70"/>
    <w:rsid w:val="00C0478B"/>
    <w:rsid w:val="00C0547A"/>
    <w:rsid w:val="00C061BF"/>
    <w:rsid w:val="00C07855"/>
    <w:rsid w:val="00C10667"/>
    <w:rsid w:val="00C11193"/>
    <w:rsid w:val="00C11640"/>
    <w:rsid w:val="00C11D02"/>
    <w:rsid w:val="00C127D4"/>
    <w:rsid w:val="00C12B40"/>
    <w:rsid w:val="00C13340"/>
    <w:rsid w:val="00C15704"/>
    <w:rsid w:val="00C15923"/>
    <w:rsid w:val="00C15D9F"/>
    <w:rsid w:val="00C177D0"/>
    <w:rsid w:val="00C17A32"/>
    <w:rsid w:val="00C17D09"/>
    <w:rsid w:val="00C20A33"/>
    <w:rsid w:val="00C21375"/>
    <w:rsid w:val="00C21701"/>
    <w:rsid w:val="00C21AAD"/>
    <w:rsid w:val="00C2221E"/>
    <w:rsid w:val="00C22E4B"/>
    <w:rsid w:val="00C240E3"/>
    <w:rsid w:val="00C24232"/>
    <w:rsid w:val="00C24304"/>
    <w:rsid w:val="00C24700"/>
    <w:rsid w:val="00C247CF"/>
    <w:rsid w:val="00C260F4"/>
    <w:rsid w:val="00C26BDC"/>
    <w:rsid w:val="00C27413"/>
    <w:rsid w:val="00C307BE"/>
    <w:rsid w:val="00C32134"/>
    <w:rsid w:val="00C32BC6"/>
    <w:rsid w:val="00C33CA8"/>
    <w:rsid w:val="00C33EEE"/>
    <w:rsid w:val="00C342F5"/>
    <w:rsid w:val="00C354AC"/>
    <w:rsid w:val="00C35AD4"/>
    <w:rsid w:val="00C36694"/>
    <w:rsid w:val="00C37379"/>
    <w:rsid w:val="00C37620"/>
    <w:rsid w:val="00C37A62"/>
    <w:rsid w:val="00C37E5C"/>
    <w:rsid w:val="00C4049E"/>
    <w:rsid w:val="00C40507"/>
    <w:rsid w:val="00C40727"/>
    <w:rsid w:val="00C40B1A"/>
    <w:rsid w:val="00C418E9"/>
    <w:rsid w:val="00C419A0"/>
    <w:rsid w:val="00C4287E"/>
    <w:rsid w:val="00C44089"/>
    <w:rsid w:val="00C44388"/>
    <w:rsid w:val="00C4470B"/>
    <w:rsid w:val="00C450EA"/>
    <w:rsid w:val="00C451B8"/>
    <w:rsid w:val="00C45843"/>
    <w:rsid w:val="00C473CC"/>
    <w:rsid w:val="00C51BE6"/>
    <w:rsid w:val="00C51D48"/>
    <w:rsid w:val="00C52AE0"/>
    <w:rsid w:val="00C52D2F"/>
    <w:rsid w:val="00C53384"/>
    <w:rsid w:val="00C53D67"/>
    <w:rsid w:val="00C54850"/>
    <w:rsid w:val="00C54F97"/>
    <w:rsid w:val="00C55771"/>
    <w:rsid w:val="00C56027"/>
    <w:rsid w:val="00C5609B"/>
    <w:rsid w:val="00C566A3"/>
    <w:rsid w:val="00C569A9"/>
    <w:rsid w:val="00C571F7"/>
    <w:rsid w:val="00C57333"/>
    <w:rsid w:val="00C5753D"/>
    <w:rsid w:val="00C6015C"/>
    <w:rsid w:val="00C603E8"/>
    <w:rsid w:val="00C6133E"/>
    <w:rsid w:val="00C61BE6"/>
    <w:rsid w:val="00C62ACA"/>
    <w:rsid w:val="00C632CF"/>
    <w:rsid w:val="00C63EE5"/>
    <w:rsid w:val="00C64851"/>
    <w:rsid w:val="00C64B69"/>
    <w:rsid w:val="00C64D92"/>
    <w:rsid w:val="00C65F20"/>
    <w:rsid w:val="00C66753"/>
    <w:rsid w:val="00C703DC"/>
    <w:rsid w:val="00C70DF7"/>
    <w:rsid w:val="00C718A1"/>
    <w:rsid w:val="00C71A09"/>
    <w:rsid w:val="00C72E8C"/>
    <w:rsid w:val="00C72FCE"/>
    <w:rsid w:val="00C74E3D"/>
    <w:rsid w:val="00C754AE"/>
    <w:rsid w:val="00C777ED"/>
    <w:rsid w:val="00C77917"/>
    <w:rsid w:val="00C8008C"/>
    <w:rsid w:val="00C815AC"/>
    <w:rsid w:val="00C8175F"/>
    <w:rsid w:val="00C8258D"/>
    <w:rsid w:val="00C82A78"/>
    <w:rsid w:val="00C82F06"/>
    <w:rsid w:val="00C8441F"/>
    <w:rsid w:val="00C85CD7"/>
    <w:rsid w:val="00C85D35"/>
    <w:rsid w:val="00C85E1B"/>
    <w:rsid w:val="00C86965"/>
    <w:rsid w:val="00C86AED"/>
    <w:rsid w:val="00C86B67"/>
    <w:rsid w:val="00C8736A"/>
    <w:rsid w:val="00C87D33"/>
    <w:rsid w:val="00C9032B"/>
    <w:rsid w:val="00C911D9"/>
    <w:rsid w:val="00C9195A"/>
    <w:rsid w:val="00C91B61"/>
    <w:rsid w:val="00C9258B"/>
    <w:rsid w:val="00C9336C"/>
    <w:rsid w:val="00C9482D"/>
    <w:rsid w:val="00C94A29"/>
    <w:rsid w:val="00C9531B"/>
    <w:rsid w:val="00C95926"/>
    <w:rsid w:val="00C960FA"/>
    <w:rsid w:val="00C96139"/>
    <w:rsid w:val="00C96CEA"/>
    <w:rsid w:val="00CA213F"/>
    <w:rsid w:val="00CA2544"/>
    <w:rsid w:val="00CA4012"/>
    <w:rsid w:val="00CA5152"/>
    <w:rsid w:val="00CA6E67"/>
    <w:rsid w:val="00CA70FA"/>
    <w:rsid w:val="00CA710F"/>
    <w:rsid w:val="00CB0DCD"/>
    <w:rsid w:val="00CB0E3B"/>
    <w:rsid w:val="00CB0EF0"/>
    <w:rsid w:val="00CB2AC9"/>
    <w:rsid w:val="00CB30A2"/>
    <w:rsid w:val="00CB3E22"/>
    <w:rsid w:val="00CB4486"/>
    <w:rsid w:val="00CB47F1"/>
    <w:rsid w:val="00CB57FA"/>
    <w:rsid w:val="00CB5A54"/>
    <w:rsid w:val="00CB5EBF"/>
    <w:rsid w:val="00CB6D68"/>
    <w:rsid w:val="00CB7B6D"/>
    <w:rsid w:val="00CC166A"/>
    <w:rsid w:val="00CC25FE"/>
    <w:rsid w:val="00CC28D8"/>
    <w:rsid w:val="00CC2B55"/>
    <w:rsid w:val="00CC2F93"/>
    <w:rsid w:val="00CC34FE"/>
    <w:rsid w:val="00CC3FDC"/>
    <w:rsid w:val="00CC5007"/>
    <w:rsid w:val="00CC6FDA"/>
    <w:rsid w:val="00CC766C"/>
    <w:rsid w:val="00CC7747"/>
    <w:rsid w:val="00CD025D"/>
    <w:rsid w:val="00CD10C8"/>
    <w:rsid w:val="00CD1937"/>
    <w:rsid w:val="00CD2396"/>
    <w:rsid w:val="00CD2E06"/>
    <w:rsid w:val="00CD3034"/>
    <w:rsid w:val="00CD328D"/>
    <w:rsid w:val="00CD3825"/>
    <w:rsid w:val="00CD3D8A"/>
    <w:rsid w:val="00CD40AE"/>
    <w:rsid w:val="00CD4E92"/>
    <w:rsid w:val="00CD4FCC"/>
    <w:rsid w:val="00CD56DD"/>
    <w:rsid w:val="00CD5A4F"/>
    <w:rsid w:val="00CD5B91"/>
    <w:rsid w:val="00CD7BBC"/>
    <w:rsid w:val="00CE085D"/>
    <w:rsid w:val="00CE0D32"/>
    <w:rsid w:val="00CE13A8"/>
    <w:rsid w:val="00CE13F8"/>
    <w:rsid w:val="00CE1C6B"/>
    <w:rsid w:val="00CE2E03"/>
    <w:rsid w:val="00CE3555"/>
    <w:rsid w:val="00CE3791"/>
    <w:rsid w:val="00CE3FC9"/>
    <w:rsid w:val="00CE43D5"/>
    <w:rsid w:val="00CE45E0"/>
    <w:rsid w:val="00CE59A3"/>
    <w:rsid w:val="00CE5DF4"/>
    <w:rsid w:val="00CE630E"/>
    <w:rsid w:val="00CE6CE9"/>
    <w:rsid w:val="00CE7C36"/>
    <w:rsid w:val="00CF0C75"/>
    <w:rsid w:val="00CF11DB"/>
    <w:rsid w:val="00CF1B03"/>
    <w:rsid w:val="00CF1DBF"/>
    <w:rsid w:val="00CF2239"/>
    <w:rsid w:val="00CF3164"/>
    <w:rsid w:val="00CF3A7F"/>
    <w:rsid w:val="00CF3CAF"/>
    <w:rsid w:val="00CF40F6"/>
    <w:rsid w:val="00CF4E74"/>
    <w:rsid w:val="00CF5802"/>
    <w:rsid w:val="00CF60B8"/>
    <w:rsid w:val="00CF6994"/>
    <w:rsid w:val="00CF6AF4"/>
    <w:rsid w:val="00CF6EEF"/>
    <w:rsid w:val="00CF74D9"/>
    <w:rsid w:val="00CF7C9E"/>
    <w:rsid w:val="00D002FE"/>
    <w:rsid w:val="00D02645"/>
    <w:rsid w:val="00D04D24"/>
    <w:rsid w:val="00D05222"/>
    <w:rsid w:val="00D054E1"/>
    <w:rsid w:val="00D0550D"/>
    <w:rsid w:val="00D1049E"/>
    <w:rsid w:val="00D1168B"/>
    <w:rsid w:val="00D1244D"/>
    <w:rsid w:val="00D13E22"/>
    <w:rsid w:val="00D14605"/>
    <w:rsid w:val="00D14897"/>
    <w:rsid w:val="00D149C6"/>
    <w:rsid w:val="00D1597D"/>
    <w:rsid w:val="00D16A25"/>
    <w:rsid w:val="00D1715D"/>
    <w:rsid w:val="00D17E4D"/>
    <w:rsid w:val="00D206A6"/>
    <w:rsid w:val="00D20D31"/>
    <w:rsid w:val="00D2166C"/>
    <w:rsid w:val="00D2208C"/>
    <w:rsid w:val="00D23C8B"/>
    <w:rsid w:val="00D23DCF"/>
    <w:rsid w:val="00D3036D"/>
    <w:rsid w:val="00D3145F"/>
    <w:rsid w:val="00D31814"/>
    <w:rsid w:val="00D31FCA"/>
    <w:rsid w:val="00D327E0"/>
    <w:rsid w:val="00D33B51"/>
    <w:rsid w:val="00D33F8F"/>
    <w:rsid w:val="00D34575"/>
    <w:rsid w:val="00D35751"/>
    <w:rsid w:val="00D35911"/>
    <w:rsid w:val="00D401CD"/>
    <w:rsid w:val="00D40BA7"/>
    <w:rsid w:val="00D40FE9"/>
    <w:rsid w:val="00D42131"/>
    <w:rsid w:val="00D42DA4"/>
    <w:rsid w:val="00D42FB2"/>
    <w:rsid w:val="00D43694"/>
    <w:rsid w:val="00D44C39"/>
    <w:rsid w:val="00D451E5"/>
    <w:rsid w:val="00D45258"/>
    <w:rsid w:val="00D45C74"/>
    <w:rsid w:val="00D46732"/>
    <w:rsid w:val="00D508F7"/>
    <w:rsid w:val="00D51363"/>
    <w:rsid w:val="00D51A27"/>
    <w:rsid w:val="00D51BAD"/>
    <w:rsid w:val="00D51C68"/>
    <w:rsid w:val="00D51EF6"/>
    <w:rsid w:val="00D52958"/>
    <w:rsid w:val="00D52BDA"/>
    <w:rsid w:val="00D53094"/>
    <w:rsid w:val="00D53BAC"/>
    <w:rsid w:val="00D53BD0"/>
    <w:rsid w:val="00D5644E"/>
    <w:rsid w:val="00D56544"/>
    <w:rsid w:val="00D56579"/>
    <w:rsid w:val="00D5794E"/>
    <w:rsid w:val="00D60518"/>
    <w:rsid w:val="00D60600"/>
    <w:rsid w:val="00D60A07"/>
    <w:rsid w:val="00D618B7"/>
    <w:rsid w:val="00D618F6"/>
    <w:rsid w:val="00D626CB"/>
    <w:rsid w:val="00D62E4E"/>
    <w:rsid w:val="00D63078"/>
    <w:rsid w:val="00D6405D"/>
    <w:rsid w:val="00D64578"/>
    <w:rsid w:val="00D64C5C"/>
    <w:rsid w:val="00D66449"/>
    <w:rsid w:val="00D668BF"/>
    <w:rsid w:val="00D672D4"/>
    <w:rsid w:val="00D6761D"/>
    <w:rsid w:val="00D70186"/>
    <w:rsid w:val="00D72DA4"/>
    <w:rsid w:val="00D72E68"/>
    <w:rsid w:val="00D72FB9"/>
    <w:rsid w:val="00D731BC"/>
    <w:rsid w:val="00D735E6"/>
    <w:rsid w:val="00D73871"/>
    <w:rsid w:val="00D740DE"/>
    <w:rsid w:val="00D742AB"/>
    <w:rsid w:val="00D747EC"/>
    <w:rsid w:val="00D750CF"/>
    <w:rsid w:val="00D751EF"/>
    <w:rsid w:val="00D75589"/>
    <w:rsid w:val="00D759DA"/>
    <w:rsid w:val="00D75AE3"/>
    <w:rsid w:val="00D75B43"/>
    <w:rsid w:val="00D75C84"/>
    <w:rsid w:val="00D75FA7"/>
    <w:rsid w:val="00D802BF"/>
    <w:rsid w:val="00D80845"/>
    <w:rsid w:val="00D809D5"/>
    <w:rsid w:val="00D80EDB"/>
    <w:rsid w:val="00D81532"/>
    <w:rsid w:val="00D82444"/>
    <w:rsid w:val="00D84118"/>
    <w:rsid w:val="00D846D6"/>
    <w:rsid w:val="00D84DA2"/>
    <w:rsid w:val="00D859A1"/>
    <w:rsid w:val="00D86C75"/>
    <w:rsid w:val="00D8722B"/>
    <w:rsid w:val="00D8793D"/>
    <w:rsid w:val="00D9172A"/>
    <w:rsid w:val="00D9234D"/>
    <w:rsid w:val="00D93354"/>
    <w:rsid w:val="00D93CEE"/>
    <w:rsid w:val="00D956EE"/>
    <w:rsid w:val="00D95D31"/>
    <w:rsid w:val="00D95DD0"/>
    <w:rsid w:val="00D96192"/>
    <w:rsid w:val="00D962DB"/>
    <w:rsid w:val="00D9756C"/>
    <w:rsid w:val="00DA096C"/>
    <w:rsid w:val="00DA0C7F"/>
    <w:rsid w:val="00DA0D7E"/>
    <w:rsid w:val="00DA1C5B"/>
    <w:rsid w:val="00DA3C96"/>
    <w:rsid w:val="00DA4090"/>
    <w:rsid w:val="00DA58CE"/>
    <w:rsid w:val="00DA64F8"/>
    <w:rsid w:val="00DA6D97"/>
    <w:rsid w:val="00DA7092"/>
    <w:rsid w:val="00DA7B31"/>
    <w:rsid w:val="00DB0384"/>
    <w:rsid w:val="00DB0E82"/>
    <w:rsid w:val="00DB1BEE"/>
    <w:rsid w:val="00DB2351"/>
    <w:rsid w:val="00DB2941"/>
    <w:rsid w:val="00DB2AFC"/>
    <w:rsid w:val="00DB30A9"/>
    <w:rsid w:val="00DB30F0"/>
    <w:rsid w:val="00DB49A0"/>
    <w:rsid w:val="00DB6C3D"/>
    <w:rsid w:val="00DB760B"/>
    <w:rsid w:val="00DB7A3B"/>
    <w:rsid w:val="00DC0480"/>
    <w:rsid w:val="00DC0859"/>
    <w:rsid w:val="00DC1082"/>
    <w:rsid w:val="00DC1D5C"/>
    <w:rsid w:val="00DC595D"/>
    <w:rsid w:val="00DC68ED"/>
    <w:rsid w:val="00DD0016"/>
    <w:rsid w:val="00DD06DA"/>
    <w:rsid w:val="00DD099E"/>
    <w:rsid w:val="00DD0E85"/>
    <w:rsid w:val="00DD13B6"/>
    <w:rsid w:val="00DD25F3"/>
    <w:rsid w:val="00DD260F"/>
    <w:rsid w:val="00DD2705"/>
    <w:rsid w:val="00DD2EE1"/>
    <w:rsid w:val="00DD3A33"/>
    <w:rsid w:val="00DD533E"/>
    <w:rsid w:val="00DD6290"/>
    <w:rsid w:val="00DD686E"/>
    <w:rsid w:val="00DD6A9F"/>
    <w:rsid w:val="00DD75D5"/>
    <w:rsid w:val="00DD7F5F"/>
    <w:rsid w:val="00DE0D8A"/>
    <w:rsid w:val="00DE1C6C"/>
    <w:rsid w:val="00DE35F3"/>
    <w:rsid w:val="00DE5208"/>
    <w:rsid w:val="00DE6393"/>
    <w:rsid w:val="00DE63CA"/>
    <w:rsid w:val="00DE695C"/>
    <w:rsid w:val="00DE6B0F"/>
    <w:rsid w:val="00DE7824"/>
    <w:rsid w:val="00DF0A51"/>
    <w:rsid w:val="00DF1A71"/>
    <w:rsid w:val="00DF1C56"/>
    <w:rsid w:val="00DF1CA0"/>
    <w:rsid w:val="00DF2202"/>
    <w:rsid w:val="00DF2B99"/>
    <w:rsid w:val="00DF388A"/>
    <w:rsid w:val="00DF3CB7"/>
    <w:rsid w:val="00DF425B"/>
    <w:rsid w:val="00DF4414"/>
    <w:rsid w:val="00DF4E8A"/>
    <w:rsid w:val="00DF5ADC"/>
    <w:rsid w:val="00DF621B"/>
    <w:rsid w:val="00DF64E5"/>
    <w:rsid w:val="00DF6ACB"/>
    <w:rsid w:val="00DF7E79"/>
    <w:rsid w:val="00E00AEB"/>
    <w:rsid w:val="00E011DC"/>
    <w:rsid w:val="00E0170D"/>
    <w:rsid w:val="00E0243C"/>
    <w:rsid w:val="00E0279D"/>
    <w:rsid w:val="00E02F06"/>
    <w:rsid w:val="00E03A22"/>
    <w:rsid w:val="00E03BF2"/>
    <w:rsid w:val="00E03E4B"/>
    <w:rsid w:val="00E04B38"/>
    <w:rsid w:val="00E05544"/>
    <w:rsid w:val="00E06007"/>
    <w:rsid w:val="00E06A78"/>
    <w:rsid w:val="00E10C44"/>
    <w:rsid w:val="00E10EC0"/>
    <w:rsid w:val="00E11033"/>
    <w:rsid w:val="00E11FC2"/>
    <w:rsid w:val="00E124B2"/>
    <w:rsid w:val="00E12764"/>
    <w:rsid w:val="00E12F2B"/>
    <w:rsid w:val="00E13C02"/>
    <w:rsid w:val="00E1464B"/>
    <w:rsid w:val="00E15321"/>
    <w:rsid w:val="00E159C5"/>
    <w:rsid w:val="00E15F86"/>
    <w:rsid w:val="00E16017"/>
    <w:rsid w:val="00E16920"/>
    <w:rsid w:val="00E16DAC"/>
    <w:rsid w:val="00E172DF"/>
    <w:rsid w:val="00E17351"/>
    <w:rsid w:val="00E21B50"/>
    <w:rsid w:val="00E21D52"/>
    <w:rsid w:val="00E222A7"/>
    <w:rsid w:val="00E23C5B"/>
    <w:rsid w:val="00E24916"/>
    <w:rsid w:val="00E25EB1"/>
    <w:rsid w:val="00E303F6"/>
    <w:rsid w:val="00E30FED"/>
    <w:rsid w:val="00E32A74"/>
    <w:rsid w:val="00E32D7B"/>
    <w:rsid w:val="00E340DA"/>
    <w:rsid w:val="00E34A4E"/>
    <w:rsid w:val="00E357A9"/>
    <w:rsid w:val="00E376B3"/>
    <w:rsid w:val="00E40ECC"/>
    <w:rsid w:val="00E41406"/>
    <w:rsid w:val="00E414F1"/>
    <w:rsid w:val="00E4285D"/>
    <w:rsid w:val="00E43548"/>
    <w:rsid w:val="00E43862"/>
    <w:rsid w:val="00E43E23"/>
    <w:rsid w:val="00E44802"/>
    <w:rsid w:val="00E4524B"/>
    <w:rsid w:val="00E469DB"/>
    <w:rsid w:val="00E46E9A"/>
    <w:rsid w:val="00E47582"/>
    <w:rsid w:val="00E50464"/>
    <w:rsid w:val="00E50D6B"/>
    <w:rsid w:val="00E51AE3"/>
    <w:rsid w:val="00E52304"/>
    <w:rsid w:val="00E52D1A"/>
    <w:rsid w:val="00E54610"/>
    <w:rsid w:val="00E55059"/>
    <w:rsid w:val="00E5579E"/>
    <w:rsid w:val="00E55BF1"/>
    <w:rsid w:val="00E578FB"/>
    <w:rsid w:val="00E57EC2"/>
    <w:rsid w:val="00E61708"/>
    <w:rsid w:val="00E653A2"/>
    <w:rsid w:val="00E6541B"/>
    <w:rsid w:val="00E656C6"/>
    <w:rsid w:val="00E65D84"/>
    <w:rsid w:val="00E66227"/>
    <w:rsid w:val="00E666F6"/>
    <w:rsid w:val="00E673FF"/>
    <w:rsid w:val="00E675F3"/>
    <w:rsid w:val="00E70C0C"/>
    <w:rsid w:val="00E71348"/>
    <w:rsid w:val="00E71C19"/>
    <w:rsid w:val="00E71CAE"/>
    <w:rsid w:val="00E72077"/>
    <w:rsid w:val="00E72644"/>
    <w:rsid w:val="00E7302F"/>
    <w:rsid w:val="00E73E04"/>
    <w:rsid w:val="00E74655"/>
    <w:rsid w:val="00E7481A"/>
    <w:rsid w:val="00E766A4"/>
    <w:rsid w:val="00E800B5"/>
    <w:rsid w:val="00E80459"/>
    <w:rsid w:val="00E804DE"/>
    <w:rsid w:val="00E80695"/>
    <w:rsid w:val="00E81708"/>
    <w:rsid w:val="00E81AC9"/>
    <w:rsid w:val="00E82072"/>
    <w:rsid w:val="00E8247D"/>
    <w:rsid w:val="00E830A8"/>
    <w:rsid w:val="00E838F5"/>
    <w:rsid w:val="00E83993"/>
    <w:rsid w:val="00E84B00"/>
    <w:rsid w:val="00E84DAE"/>
    <w:rsid w:val="00E85610"/>
    <w:rsid w:val="00E863EB"/>
    <w:rsid w:val="00E86C37"/>
    <w:rsid w:val="00E86FED"/>
    <w:rsid w:val="00E87068"/>
    <w:rsid w:val="00E87E1A"/>
    <w:rsid w:val="00E904A1"/>
    <w:rsid w:val="00E906A5"/>
    <w:rsid w:val="00E9070D"/>
    <w:rsid w:val="00E90A7B"/>
    <w:rsid w:val="00E90C25"/>
    <w:rsid w:val="00E927A6"/>
    <w:rsid w:val="00E93999"/>
    <w:rsid w:val="00E93B7F"/>
    <w:rsid w:val="00E94E68"/>
    <w:rsid w:val="00E94E9F"/>
    <w:rsid w:val="00E95044"/>
    <w:rsid w:val="00E95234"/>
    <w:rsid w:val="00E973EA"/>
    <w:rsid w:val="00E978EB"/>
    <w:rsid w:val="00EA0326"/>
    <w:rsid w:val="00EA0E75"/>
    <w:rsid w:val="00EA1643"/>
    <w:rsid w:val="00EA1DBF"/>
    <w:rsid w:val="00EA4322"/>
    <w:rsid w:val="00EA43CB"/>
    <w:rsid w:val="00EA524C"/>
    <w:rsid w:val="00EA5547"/>
    <w:rsid w:val="00EA5876"/>
    <w:rsid w:val="00EA6211"/>
    <w:rsid w:val="00EA663D"/>
    <w:rsid w:val="00EA791A"/>
    <w:rsid w:val="00EB0876"/>
    <w:rsid w:val="00EB0A44"/>
    <w:rsid w:val="00EB0EB2"/>
    <w:rsid w:val="00EB1BEF"/>
    <w:rsid w:val="00EB324C"/>
    <w:rsid w:val="00EB3289"/>
    <w:rsid w:val="00EB32C7"/>
    <w:rsid w:val="00EB331F"/>
    <w:rsid w:val="00EB3E7A"/>
    <w:rsid w:val="00EB5A2C"/>
    <w:rsid w:val="00EB6930"/>
    <w:rsid w:val="00EB71EC"/>
    <w:rsid w:val="00EB793E"/>
    <w:rsid w:val="00EC007F"/>
    <w:rsid w:val="00EC09C6"/>
    <w:rsid w:val="00EC0CAB"/>
    <w:rsid w:val="00EC3AC5"/>
    <w:rsid w:val="00EC3ED4"/>
    <w:rsid w:val="00EC43FB"/>
    <w:rsid w:val="00EC475A"/>
    <w:rsid w:val="00EC4C60"/>
    <w:rsid w:val="00EC4F7B"/>
    <w:rsid w:val="00EC5F84"/>
    <w:rsid w:val="00EC6AE5"/>
    <w:rsid w:val="00ED0B34"/>
    <w:rsid w:val="00ED1C71"/>
    <w:rsid w:val="00ED1D3A"/>
    <w:rsid w:val="00ED21DA"/>
    <w:rsid w:val="00ED2B7D"/>
    <w:rsid w:val="00ED2E4F"/>
    <w:rsid w:val="00ED3195"/>
    <w:rsid w:val="00ED54C4"/>
    <w:rsid w:val="00ED5DA5"/>
    <w:rsid w:val="00ED6A42"/>
    <w:rsid w:val="00EE085D"/>
    <w:rsid w:val="00EE089D"/>
    <w:rsid w:val="00EE1564"/>
    <w:rsid w:val="00EE2345"/>
    <w:rsid w:val="00EE2763"/>
    <w:rsid w:val="00EE2AA9"/>
    <w:rsid w:val="00EE3346"/>
    <w:rsid w:val="00EE3CE8"/>
    <w:rsid w:val="00EE400C"/>
    <w:rsid w:val="00EE470F"/>
    <w:rsid w:val="00EE4EED"/>
    <w:rsid w:val="00EE4F81"/>
    <w:rsid w:val="00EE5064"/>
    <w:rsid w:val="00EE5671"/>
    <w:rsid w:val="00EE5E59"/>
    <w:rsid w:val="00EE742D"/>
    <w:rsid w:val="00EE7942"/>
    <w:rsid w:val="00EF00BA"/>
    <w:rsid w:val="00EF0507"/>
    <w:rsid w:val="00EF0811"/>
    <w:rsid w:val="00EF1EA3"/>
    <w:rsid w:val="00EF3DEB"/>
    <w:rsid w:val="00EF4199"/>
    <w:rsid w:val="00EF496F"/>
    <w:rsid w:val="00EF5434"/>
    <w:rsid w:val="00EF56FE"/>
    <w:rsid w:val="00EF57B4"/>
    <w:rsid w:val="00EF603F"/>
    <w:rsid w:val="00EF70ED"/>
    <w:rsid w:val="00EF726B"/>
    <w:rsid w:val="00F00AF3"/>
    <w:rsid w:val="00F00C56"/>
    <w:rsid w:val="00F01867"/>
    <w:rsid w:val="00F028EF"/>
    <w:rsid w:val="00F02CDB"/>
    <w:rsid w:val="00F039A5"/>
    <w:rsid w:val="00F058C2"/>
    <w:rsid w:val="00F05D0D"/>
    <w:rsid w:val="00F05FAB"/>
    <w:rsid w:val="00F05FC7"/>
    <w:rsid w:val="00F061A4"/>
    <w:rsid w:val="00F06635"/>
    <w:rsid w:val="00F06F60"/>
    <w:rsid w:val="00F07432"/>
    <w:rsid w:val="00F07D8B"/>
    <w:rsid w:val="00F103D7"/>
    <w:rsid w:val="00F1206A"/>
    <w:rsid w:val="00F12B76"/>
    <w:rsid w:val="00F15339"/>
    <w:rsid w:val="00F16910"/>
    <w:rsid w:val="00F1693E"/>
    <w:rsid w:val="00F20738"/>
    <w:rsid w:val="00F21019"/>
    <w:rsid w:val="00F2193A"/>
    <w:rsid w:val="00F22375"/>
    <w:rsid w:val="00F22440"/>
    <w:rsid w:val="00F23332"/>
    <w:rsid w:val="00F243A8"/>
    <w:rsid w:val="00F25A9A"/>
    <w:rsid w:val="00F25C36"/>
    <w:rsid w:val="00F26B94"/>
    <w:rsid w:val="00F27726"/>
    <w:rsid w:val="00F2782C"/>
    <w:rsid w:val="00F27966"/>
    <w:rsid w:val="00F279C8"/>
    <w:rsid w:val="00F27A91"/>
    <w:rsid w:val="00F30351"/>
    <w:rsid w:val="00F311B3"/>
    <w:rsid w:val="00F315B8"/>
    <w:rsid w:val="00F319A9"/>
    <w:rsid w:val="00F31E9F"/>
    <w:rsid w:val="00F330D4"/>
    <w:rsid w:val="00F3344D"/>
    <w:rsid w:val="00F33679"/>
    <w:rsid w:val="00F34972"/>
    <w:rsid w:val="00F34EAD"/>
    <w:rsid w:val="00F35627"/>
    <w:rsid w:val="00F35CE4"/>
    <w:rsid w:val="00F36695"/>
    <w:rsid w:val="00F36CAC"/>
    <w:rsid w:val="00F37672"/>
    <w:rsid w:val="00F37F11"/>
    <w:rsid w:val="00F37F4E"/>
    <w:rsid w:val="00F406C3"/>
    <w:rsid w:val="00F40876"/>
    <w:rsid w:val="00F416BB"/>
    <w:rsid w:val="00F4178A"/>
    <w:rsid w:val="00F417D9"/>
    <w:rsid w:val="00F41D26"/>
    <w:rsid w:val="00F4241B"/>
    <w:rsid w:val="00F42635"/>
    <w:rsid w:val="00F42757"/>
    <w:rsid w:val="00F43DAC"/>
    <w:rsid w:val="00F44214"/>
    <w:rsid w:val="00F45D8D"/>
    <w:rsid w:val="00F46F97"/>
    <w:rsid w:val="00F475AE"/>
    <w:rsid w:val="00F47807"/>
    <w:rsid w:val="00F47B20"/>
    <w:rsid w:val="00F47D79"/>
    <w:rsid w:val="00F50231"/>
    <w:rsid w:val="00F50CD4"/>
    <w:rsid w:val="00F51FB5"/>
    <w:rsid w:val="00F524A2"/>
    <w:rsid w:val="00F52527"/>
    <w:rsid w:val="00F52FC7"/>
    <w:rsid w:val="00F53627"/>
    <w:rsid w:val="00F53CEB"/>
    <w:rsid w:val="00F53E52"/>
    <w:rsid w:val="00F544A5"/>
    <w:rsid w:val="00F54B9E"/>
    <w:rsid w:val="00F55B4D"/>
    <w:rsid w:val="00F55DCB"/>
    <w:rsid w:val="00F5627F"/>
    <w:rsid w:val="00F5631A"/>
    <w:rsid w:val="00F576A0"/>
    <w:rsid w:val="00F60538"/>
    <w:rsid w:val="00F60796"/>
    <w:rsid w:val="00F60D7A"/>
    <w:rsid w:val="00F61B19"/>
    <w:rsid w:val="00F61BF8"/>
    <w:rsid w:val="00F61D5A"/>
    <w:rsid w:val="00F634C8"/>
    <w:rsid w:val="00F63EB1"/>
    <w:rsid w:val="00F64290"/>
    <w:rsid w:val="00F65464"/>
    <w:rsid w:val="00F66716"/>
    <w:rsid w:val="00F673B6"/>
    <w:rsid w:val="00F67D25"/>
    <w:rsid w:val="00F71FBB"/>
    <w:rsid w:val="00F7282E"/>
    <w:rsid w:val="00F72E3B"/>
    <w:rsid w:val="00F730D0"/>
    <w:rsid w:val="00F73AD6"/>
    <w:rsid w:val="00F7497B"/>
    <w:rsid w:val="00F754D2"/>
    <w:rsid w:val="00F756F6"/>
    <w:rsid w:val="00F760AE"/>
    <w:rsid w:val="00F7678A"/>
    <w:rsid w:val="00F768AE"/>
    <w:rsid w:val="00F77F61"/>
    <w:rsid w:val="00F80163"/>
    <w:rsid w:val="00F8019C"/>
    <w:rsid w:val="00F80638"/>
    <w:rsid w:val="00F8080F"/>
    <w:rsid w:val="00F81090"/>
    <w:rsid w:val="00F810CE"/>
    <w:rsid w:val="00F814F8"/>
    <w:rsid w:val="00F8194B"/>
    <w:rsid w:val="00F81D81"/>
    <w:rsid w:val="00F81F8A"/>
    <w:rsid w:val="00F820BF"/>
    <w:rsid w:val="00F82ADE"/>
    <w:rsid w:val="00F82E76"/>
    <w:rsid w:val="00F83412"/>
    <w:rsid w:val="00F83866"/>
    <w:rsid w:val="00F8438D"/>
    <w:rsid w:val="00F8521F"/>
    <w:rsid w:val="00F86B19"/>
    <w:rsid w:val="00F86FBB"/>
    <w:rsid w:val="00F8749F"/>
    <w:rsid w:val="00F876C7"/>
    <w:rsid w:val="00F90129"/>
    <w:rsid w:val="00F9046B"/>
    <w:rsid w:val="00F905A5"/>
    <w:rsid w:val="00F91335"/>
    <w:rsid w:val="00F914B9"/>
    <w:rsid w:val="00F91BBE"/>
    <w:rsid w:val="00F91CA8"/>
    <w:rsid w:val="00F93C66"/>
    <w:rsid w:val="00F95E14"/>
    <w:rsid w:val="00F964A5"/>
    <w:rsid w:val="00F96655"/>
    <w:rsid w:val="00F96B17"/>
    <w:rsid w:val="00F97003"/>
    <w:rsid w:val="00FA081C"/>
    <w:rsid w:val="00FA0AA5"/>
    <w:rsid w:val="00FA0BFE"/>
    <w:rsid w:val="00FA172F"/>
    <w:rsid w:val="00FA2507"/>
    <w:rsid w:val="00FA26F8"/>
    <w:rsid w:val="00FA27DD"/>
    <w:rsid w:val="00FA2ADE"/>
    <w:rsid w:val="00FA2D40"/>
    <w:rsid w:val="00FA31E0"/>
    <w:rsid w:val="00FA3306"/>
    <w:rsid w:val="00FA4E86"/>
    <w:rsid w:val="00FA564B"/>
    <w:rsid w:val="00FA5826"/>
    <w:rsid w:val="00FA5F95"/>
    <w:rsid w:val="00FB0E22"/>
    <w:rsid w:val="00FB15EE"/>
    <w:rsid w:val="00FB1773"/>
    <w:rsid w:val="00FB2276"/>
    <w:rsid w:val="00FB2B7A"/>
    <w:rsid w:val="00FB3209"/>
    <w:rsid w:val="00FB3606"/>
    <w:rsid w:val="00FB38B9"/>
    <w:rsid w:val="00FB40FB"/>
    <w:rsid w:val="00FB4366"/>
    <w:rsid w:val="00FB4B92"/>
    <w:rsid w:val="00FB5121"/>
    <w:rsid w:val="00FB539D"/>
    <w:rsid w:val="00FB67C8"/>
    <w:rsid w:val="00FC024C"/>
    <w:rsid w:val="00FC1496"/>
    <w:rsid w:val="00FC2E35"/>
    <w:rsid w:val="00FC30D5"/>
    <w:rsid w:val="00FC3524"/>
    <w:rsid w:val="00FC37B8"/>
    <w:rsid w:val="00FC40FC"/>
    <w:rsid w:val="00FC5479"/>
    <w:rsid w:val="00FC549A"/>
    <w:rsid w:val="00FC558D"/>
    <w:rsid w:val="00FC653F"/>
    <w:rsid w:val="00FC79FE"/>
    <w:rsid w:val="00FD0916"/>
    <w:rsid w:val="00FD0C12"/>
    <w:rsid w:val="00FD109A"/>
    <w:rsid w:val="00FD223C"/>
    <w:rsid w:val="00FD23E6"/>
    <w:rsid w:val="00FD244E"/>
    <w:rsid w:val="00FD2500"/>
    <w:rsid w:val="00FD371F"/>
    <w:rsid w:val="00FD44EC"/>
    <w:rsid w:val="00FD4F4E"/>
    <w:rsid w:val="00FD5195"/>
    <w:rsid w:val="00FD6AAA"/>
    <w:rsid w:val="00FD72F0"/>
    <w:rsid w:val="00FD78B5"/>
    <w:rsid w:val="00FE03FC"/>
    <w:rsid w:val="00FE099F"/>
    <w:rsid w:val="00FE0CA0"/>
    <w:rsid w:val="00FE22A9"/>
    <w:rsid w:val="00FE26A5"/>
    <w:rsid w:val="00FE3D1D"/>
    <w:rsid w:val="00FE6420"/>
    <w:rsid w:val="00FE6482"/>
    <w:rsid w:val="00FE70BE"/>
    <w:rsid w:val="00FE7273"/>
    <w:rsid w:val="00FE7935"/>
    <w:rsid w:val="00FE7AD1"/>
    <w:rsid w:val="00FE7EB2"/>
    <w:rsid w:val="00FE7FC5"/>
    <w:rsid w:val="00FF0F10"/>
    <w:rsid w:val="00FF19C6"/>
    <w:rsid w:val="00FF1A52"/>
    <w:rsid w:val="00FF27B2"/>
    <w:rsid w:val="00FF2840"/>
    <w:rsid w:val="00FF3B09"/>
    <w:rsid w:val="00FF4252"/>
    <w:rsid w:val="00FF6366"/>
    <w:rsid w:val="00FF6E8D"/>
    <w:rsid w:val="00FF7D3B"/>
    <w:rsid w:val="01087FFE"/>
    <w:rsid w:val="011D6C9C"/>
    <w:rsid w:val="019C2785"/>
    <w:rsid w:val="01FB40D3"/>
    <w:rsid w:val="02202710"/>
    <w:rsid w:val="029167E5"/>
    <w:rsid w:val="02F644BE"/>
    <w:rsid w:val="031A559C"/>
    <w:rsid w:val="03C5646B"/>
    <w:rsid w:val="03F82425"/>
    <w:rsid w:val="044731CA"/>
    <w:rsid w:val="0454294F"/>
    <w:rsid w:val="048C04CB"/>
    <w:rsid w:val="049138C7"/>
    <w:rsid w:val="04AF1AE5"/>
    <w:rsid w:val="04C94AA1"/>
    <w:rsid w:val="04DF31CD"/>
    <w:rsid w:val="05315DDD"/>
    <w:rsid w:val="055A068A"/>
    <w:rsid w:val="055E5536"/>
    <w:rsid w:val="059D3614"/>
    <w:rsid w:val="05D30FDB"/>
    <w:rsid w:val="06107F00"/>
    <w:rsid w:val="072D525E"/>
    <w:rsid w:val="07347B3E"/>
    <w:rsid w:val="074A6148"/>
    <w:rsid w:val="07896382"/>
    <w:rsid w:val="079B4D5C"/>
    <w:rsid w:val="07A761A0"/>
    <w:rsid w:val="07F937B1"/>
    <w:rsid w:val="09C202AD"/>
    <w:rsid w:val="0A1657D5"/>
    <w:rsid w:val="0BED22F8"/>
    <w:rsid w:val="0C341FD1"/>
    <w:rsid w:val="0C5435C6"/>
    <w:rsid w:val="0C9D3A0E"/>
    <w:rsid w:val="0D6D7D1B"/>
    <w:rsid w:val="0D70006B"/>
    <w:rsid w:val="0DE81FE9"/>
    <w:rsid w:val="0E7637F9"/>
    <w:rsid w:val="0F10792F"/>
    <w:rsid w:val="0F74155D"/>
    <w:rsid w:val="10993712"/>
    <w:rsid w:val="109B173F"/>
    <w:rsid w:val="10C801BE"/>
    <w:rsid w:val="10E46443"/>
    <w:rsid w:val="116F3B6A"/>
    <w:rsid w:val="11897F67"/>
    <w:rsid w:val="12024D8A"/>
    <w:rsid w:val="122D3891"/>
    <w:rsid w:val="122E7DA1"/>
    <w:rsid w:val="134659DB"/>
    <w:rsid w:val="141C78D2"/>
    <w:rsid w:val="149A1D00"/>
    <w:rsid w:val="16696D06"/>
    <w:rsid w:val="16D20B70"/>
    <w:rsid w:val="17432DD1"/>
    <w:rsid w:val="178737B5"/>
    <w:rsid w:val="1796133F"/>
    <w:rsid w:val="17AB01CB"/>
    <w:rsid w:val="186C24A5"/>
    <w:rsid w:val="1874330E"/>
    <w:rsid w:val="18C5667C"/>
    <w:rsid w:val="19300764"/>
    <w:rsid w:val="1ACD30DA"/>
    <w:rsid w:val="1AEA423E"/>
    <w:rsid w:val="1B9F2530"/>
    <w:rsid w:val="1BAB3844"/>
    <w:rsid w:val="1C003CE2"/>
    <w:rsid w:val="1C146947"/>
    <w:rsid w:val="1C8B7AE5"/>
    <w:rsid w:val="1CA3289C"/>
    <w:rsid w:val="1CE666CE"/>
    <w:rsid w:val="1D2344C8"/>
    <w:rsid w:val="1D541122"/>
    <w:rsid w:val="1D922AE2"/>
    <w:rsid w:val="1DEF43CF"/>
    <w:rsid w:val="1DF47E91"/>
    <w:rsid w:val="1DF82B54"/>
    <w:rsid w:val="1E6E7099"/>
    <w:rsid w:val="1ED2030C"/>
    <w:rsid w:val="1ED77879"/>
    <w:rsid w:val="1EEC2E2D"/>
    <w:rsid w:val="1F054435"/>
    <w:rsid w:val="1F361A6A"/>
    <w:rsid w:val="2003639D"/>
    <w:rsid w:val="205815E7"/>
    <w:rsid w:val="21C466A3"/>
    <w:rsid w:val="21DB7539"/>
    <w:rsid w:val="220E71EC"/>
    <w:rsid w:val="22704F4B"/>
    <w:rsid w:val="22F4274D"/>
    <w:rsid w:val="23611917"/>
    <w:rsid w:val="23A87E01"/>
    <w:rsid w:val="24D54F8D"/>
    <w:rsid w:val="25C97022"/>
    <w:rsid w:val="25E43930"/>
    <w:rsid w:val="26C2126C"/>
    <w:rsid w:val="27100AC8"/>
    <w:rsid w:val="283B1171"/>
    <w:rsid w:val="28A6011C"/>
    <w:rsid w:val="28C4283D"/>
    <w:rsid w:val="29303D71"/>
    <w:rsid w:val="29455B68"/>
    <w:rsid w:val="2979622F"/>
    <w:rsid w:val="29C70175"/>
    <w:rsid w:val="2A326509"/>
    <w:rsid w:val="2A371A43"/>
    <w:rsid w:val="2A4052CA"/>
    <w:rsid w:val="2AB90504"/>
    <w:rsid w:val="2B104425"/>
    <w:rsid w:val="2B9B5F81"/>
    <w:rsid w:val="2BC874DA"/>
    <w:rsid w:val="2BCE4483"/>
    <w:rsid w:val="2E4427DA"/>
    <w:rsid w:val="2EC76F67"/>
    <w:rsid w:val="2F580E88"/>
    <w:rsid w:val="2F6528A0"/>
    <w:rsid w:val="2FB378BD"/>
    <w:rsid w:val="2FC07D78"/>
    <w:rsid w:val="308333AE"/>
    <w:rsid w:val="30E24582"/>
    <w:rsid w:val="30FB4825"/>
    <w:rsid w:val="312A50D7"/>
    <w:rsid w:val="32896C3E"/>
    <w:rsid w:val="330206FB"/>
    <w:rsid w:val="337E22EA"/>
    <w:rsid w:val="34114FD6"/>
    <w:rsid w:val="344F1CB1"/>
    <w:rsid w:val="353F6F7B"/>
    <w:rsid w:val="354B607C"/>
    <w:rsid w:val="35782AF6"/>
    <w:rsid w:val="360247BF"/>
    <w:rsid w:val="363253E9"/>
    <w:rsid w:val="366826DC"/>
    <w:rsid w:val="36712C85"/>
    <w:rsid w:val="36B219B5"/>
    <w:rsid w:val="36BB5604"/>
    <w:rsid w:val="373027B6"/>
    <w:rsid w:val="38144509"/>
    <w:rsid w:val="38995AD2"/>
    <w:rsid w:val="38D062BF"/>
    <w:rsid w:val="38DB0E4E"/>
    <w:rsid w:val="39456510"/>
    <w:rsid w:val="3A5E454C"/>
    <w:rsid w:val="3A6E504A"/>
    <w:rsid w:val="3A9A72F9"/>
    <w:rsid w:val="3B385DB6"/>
    <w:rsid w:val="3B933CDC"/>
    <w:rsid w:val="3B950152"/>
    <w:rsid w:val="3BA35912"/>
    <w:rsid w:val="3BD56DC1"/>
    <w:rsid w:val="3D1979E4"/>
    <w:rsid w:val="3D70255F"/>
    <w:rsid w:val="3D70721D"/>
    <w:rsid w:val="3E465485"/>
    <w:rsid w:val="3E823A68"/>
    <w:rsid w:val="3E8F532F"/>
    <w:rsid w:val="3F205F8D"/>
    <w:rsid w:val="407C48E9"/>
    <w:rsid w:val="41D70533"/>
    <w:rsid w:val="42131E5D"/>
    <w:rsid w:val="4214683D"/>
    <w:rsid w:val="424574E6"/>
    <w:rsid w:val="426F437E"/>
    <w:rsid w:val="42A56A16"/>
    <w:rsid w:val="42C35F6C"/>
    <w:rsid w:val="42D008F5"/>
    <w:rsid w:val="42FA24BF"/>
    <w:rsid w:val="43010600"/>
    <w:rsid w:val="432040BF"/>
    <w:rsid w:val="43697F5F"/>
    <w:rsid w:val="443F3C70"/>
    <w:rsid w:val="448F1A17"/>
    <w:rsid w:val="44D64616"/>
    <w:rsid w:val="457B04DE"/>
    <w:rsid w:val="46057E42"/>
    <w:rsid w:val="463B0376"/>
    <w:rsid w:val="466A000B"/>
    <w:rsid w:val="46841829"/>
    <w:rsid w:val="46A420BE"/>
    <w:rsid w:val="47013E25"/>
    <w:rsid w:val="474B7B20"/>
    <w:rsid w:val="49FC05CA"/>
    <w:rsid w:val="4A1A64E1"/>
    <w:rsid w:val="4A65776E"/>
    <w:rsid w:val="4B8C0607"/>
    <w:rsid w:val="4BCA3A7B"/>
    <w:rsid w:val="4C241F50"/>
    <w:rsid w:val="4C8C2031"/>
    <w:rsid w:val="4CB715C6"/>
    <w:rsid w:val="4CE636CA"/>
    <w:rsid w:val="4D1C5A40"/>
    <w:rsid w:val="4D551F6D"/>
    <w:rsid w:val="4D8A3795"/>
    <w:rsid w:val="4D9F6DCB"/>
    <w:rsid w:val="4DDD3DCB"/>
    <w:rsid w:val="4E3C3ABC"/>
    <w:rsid w:val="4E8265B6"/>
    <w:rsid w:val="4F265CC9"/>
    <w:rsid w:val="4F287C10"/>
    <w:rsid w:val="4F396029"/>
    <w:rsid w:val="4F4A3180"/>
    <w:rsid w:val="4F521A42"/>
    <w:rsid w:val="501C1996"/>
    <w:rsid w:val="504C60D4"/>
    <w:rsid w:val="50D71253"/>
    <w:rsid w:val="51956441"/>
    <w:rsid w:val="52045886"/>
    <w:rsid w:val="52491342"/>
    <w:rsid w:val="537336BC"/>
    <w:rsid w:val="53FB69DC"/>
    <w:rsid w:val="54D271F9"/>
    <w:rsid w:val="55AA2FBB"/>
    <w:rsid w:val="56502D73"/>
    <w:rsid w:val="57587793"/>
    <w:rsid w:val="575B0AC5"/>
    <w:rsid w:val="584B2559"/>
    <w:rsid w:val="59C76730"/>
    <w:rsid w:val="5A002052"/>
    <w:rsid w:val="5A773EFE"/>
    <w:rsid w:val="5B2B06FA"/>
    <w:rsid w:val="5BC557EF"/>
    <w:rsid w:val="5BDB3E63"/>
    <w:rsid w:val="5BF64864"/>
    <w:rsid w:val="5C4B2D1C"/>
    <w:rsid w:val="5CFB16F7"/>
    <w:rsid w:val="5D5E0147"/>
    <w:rsid w:val="5D7074A5"/>
    <w:rsid w:val="5DA408AE"/>
    <w:rsid w:val="5E1B735B"/>
    <w:rsid w:val="5EB5730F"/>
    <w:rsid w:val="5EC944B2"/>
    <w:rsid w:val="5F1C4735"/>
    <w:rsid w:val="5F4D4322"/>
    <w:rsid w:val="5F5A5626"/>
    <w:rsid w:val="5FA63466"/>
    <w:rsid w:val="6020246F"/>
    <w:rsid w:val="60522285"/>
    <w:rsid w:val="60B97EDA"/>
    <w:rsid w:val="60F73952"/>
    <w:rsid w:val="612E2A7E"/>
    <w:rsid w:val="61596EEB"/>
    <w:rsid w:val="61E913EB"/>
    <w:rsid w:val="62185691"/>
    <w:rsid w:val="626778BF"/>
    <w:rsid w:val="62890576"/>
    <w:rsid w:val="62DF3011"/>
    <w:rsid w:val="63715118"/>
    <w:rsid w:val="63930C6C"/>
    <w:rsid w:val="63ED532D"/>
    <w:rsid w:val="64810CB3"/>
    <w:rsid w:val="64E92224"/>
    <w:rsid w:val="65845699"/>
    <w:rsid w:val="65990D6C"/>
    <w:rsid w:val="65E42D97"/>
    <w:rsid w:val="663D2CE0"/>
    <w:rsid w:val="67150D97"/>
    <w:rsid w:val="67A2571D"/>
    <w:rsid w:val="67B1412E"/>
    <w:rsid w:val="67C827D4"/>
    <w:rsid w:val="681B3ED6"/>
    <w:rsid w:val="683D7911"/>
    <w:rsid w:val="687C7F4A"/>
    <w:rsid w:val="69233C74"/>
    <w:rsid w:val="694A2E12"/>
    <w:rsid w:val="6954317A"/>
    <w:rsid w:val="69A3237F"/>
    <w:rsid w:val="69D760D0"/>
    <w:rsid w:val="69DC2AAF"/>
    <w:rsid w:val="69DF7190"/>
    <w:rsid w:val="69F57003"/>
    <w:rsid w:val="6A7F70D8"/>
    <w:rsid w:val="6AA55887"/>
    <w:rsid w:val="6B6D0354"/>
    <w:rsid w:val="6BAE2103"/>
    <w:rsid w:val="6BBA15D3"/>
    <w:rsid w:val="6C775FEC"/>
    <w:rsid w:val="6CAE6A95"/>
    <w:rsid w:val="6CF746E6"/>
    <w:rsid w:val="6DD80D8D"/>
    <w:rsid w:val="6E472947"/>
    <w:rsid w:val="6EA423CA"/>
    <w:rsid w:val="6EF26383"/>
    <w:rsid w:val="6F7171CC"/>
    <w:rsid w:val="7019481E"/>
    <w:rsid w:val="70A6766C"/>
    <w:rsid w:val="713742DD"/>
    <w:rsid w:val="72273572"/>
    <w:rsid w:val="72A54616"/>
    <w:rsid w:val="72F80A8A"/>
    <w:rsid w:val="733A5CCC"/>
    <w:rsid w:val="739021DB"/>
    <w:rsid w:val="73E46253"/>
    <w:rsid w:val="74277D0A"/>
    <w:rsid w:val="7544607E"/>
    <w:rsid w:val="75891C25"/>
    <w:rsid w:val="76544C62"/>
    <w:rsid w:val="76974B24"/>
    <w:rsid w:val="769B1B37"/>
    <w:rsid w:val="76A629A4"/>
    <w:rsid w:val="76AF11AC"/>
    <w:rsid w:val="7721480C"/>
    <w:rsid w:val="77952B7E"/>
    <w:rsid w:val="77AD1D2C"/>
    <w:rsid w:val="78212571"/>
    <w:rsid w:val="782347DB"/>
    <w:rsid w:val="78602D10"/>
    <w:rsid w:val="787F7443"/>
    <w:rsid w:val="78973EFF"/>
    <w:rsid w:val="78CA4941"/>
    <w:rsid w:val="796E6B0A"/>
    <w:rsid w:val="79CA567F"/>
    <w:rsid w:val="79CD0EA3"/>
    <w:rsid w:val="79CD7213"/>
    <w:rsid w:val="7A2C3B8D"/>
    <w:rsid w:val="7A2F36DC"/>
    <w:rsid w:val="7AAE69D2"/>
    <w:rsid w:val="7B356856"/>
    <w:rsid w:val="7CBB1486"/>
    <w:rsid w:val="7CF5175E"/>
    <w:rsid w:val="7D26297F"/>
    <w:rsid w:val="7D351624"/>
    <w:rsid w:val="7D496C4B"/>
    <w:rsid w:val="7D8E53D5"/>
    <w:rsid w:val="7D9F1058"/>
    <w:rsid w:val="7DA7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iPriority="0" w:semiHidden="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99"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99" w:semiHidden="0" w:name="HTML Acronym"/>
    <w:lsdException w:qFormat="1" w:unhideWhenUsed="0" w:uiPriority="0" w:semiHidden="0" w:name="HTML Address"/>
    <w:lsdException w:qFormat="1" w:unhideWhenUsed="0" w:uiPriority="0" w:semiHidden="0" w:name="HTML Cite"/>
    <w:lsdException w:qFormat="1" w:unhideWhenUsed="0" w:uiPriority="99" w:semiHidden="0" w:name="HTML Code"/>
    <w:lsdException w:qFormat="1" w:unhideWhenUsed="0" w:uiPriority="0"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4"/>
    <w:qFormat/>
    <w:uiPriority w:val="0"/>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4">
    <w:name w:val="heading 2"/>
    <w:basedOn w:val="1"/>
    <w:next w:val="5"/>
    <w:link w:val="85"/>
    <w:qFormat/>
    <w:uiPriority w:val="0"/>
    <w:pPr>
      <w:keepNext/>
      <w:keepLines/>
      <w:spacing w:before="120" w:after="120"/>
      <w:jc w:val="left"/>
      <w:outlineLvl w:val="1"/>
    </w:pPr>
    <w:rPr>
      <w:rFonts w:ascii="宋体" w:hAnsi="宋体"/>
      <w:b/>
      <w:kern w:val="0"/>
      <w:sz w:val="20"/>
      <w:szCs w:val="24"/>
    </w:rPr>
  </w:style>
  <w:style w:type="paragraph" w:styleId="6">
    <w:name w:val="heading 3"/>
    <w:basedOn w:val="1"/>
    <w:next w:val="5"/>
    <w:link w:val="87"/>
    <w:qFormat/>
    <w:uiPriority w:val="0"/>
    <w:pPr>
      <w:keepNext/>
      <w:keepLines/>
      <w:shd w:val="clear" w:color="auto" w:fill="FFFFFF"/>
      <w:wordWrap w:val="0"/>
      <w:spacing w:line="390" w:lineRule="atLeast"/>
      <w:outlineLvl w:val="2"/>
    </w:pPr>
    <w:rPr>
      <w:rFonts w:ascii="宋体" w:hAnsi="宋体"/>
      <w:b/>
      <w:kern w:val="0"/>
      <w:sz w:val="20"/>
      <w:szCs w:val="21"/>
    </w:rPr>
  </w:style>
  <w:style w:type="paragraph" w:styleId="7">
    <w:name w:val="heading 4"/>
    <w:basedOn w:val="1"/>
    <w:next w:val="1"/>
    <w:link w:val="88"/>
    <w:qFormat/>
    <w:uiPriority w:val="0"/>
    <w:pPr>
      <w:keepNext/>
      <w:keepLines/>
      <w:spacing w:before="120" w:after="120"/>
      <w:outlineLvl w:val="3"/>
    </w:pPr>
    <w:rPr>
      <w:rFonts w:ascii="Arial" w:hAnsi="Arial" w:eastAsia="黑体"/>
      <w:b/>
      <w:kern w:val="0"/>
      <w:sz w:val="28"/>
    </w:rPr>
  </w:style>
  <w:style w:type="paragraph" w:styleId="8">
    <w:name w:val="heading 5"/>
    <w:basedOn w:val="1"/>
    <w:next w:val="5"/>
    <w:link w:val="89"/>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9">
    <w:name w:val="heading 6"/>
    <w:basedOn w:val="1"/>
    <w:next w:val="1"/>
    <w:link w:val="90"/>
    <w:qFormat/>
    <w:uiPriority w:val="0"/>
    <w:pPr>
      <w:keepNext/>
      <w:keepLines/>
      <w:spacing w:before="240" w:after="64" w:line="320" w:lineRule="auto"/>
      <w:outlineLvl w:val="5"/>
    </w:pPr>
    <w:rPr>
      <w:rFonts w:ascii="Arial" w:hAnsi="Arial" w:eastAsia="黑体"/>
      <w:b/>
      <w:bCs/>
      <w:kern w:val="0"/>
      <w:sz w:val="24"/>
      <w:szCs w:val="24"/>
    </w:rPr>
  </w:style>
  <w:style w:type="paragraph" w:styleId="10">
    <w:name w:val="heading 7"/>
    <w:basedOn w:val="1"/>
    <w:next w:val="1"/>
    <w:link w:val="91"/>
    <w:qFormat/>
    <w:uiPriority w:val="0"/>
    <w:pPr>
      <w:keepNext/>
      <w:keepLines/>
      <w:spacing w:before="240" w:after="64" w:line="320" w:lineRule="auto"/>
      <w:outlineLvl w:val="6"/>
    </w:pPr>
    <w:rPr>
      <w:b/>
      <w:bCs/>
      <w:kern w:val="0"/>
      <w:sz w:val="24"/>
      <w:szCs w:val="24"/>
    </w:rPr>
  </w:style>
  <w:style w:type="paragraph" w:styleId="11">
    <w:name w:val="heading 8"/>
    <w:basedOn w:val="1"/>
    <w:next w:val="1"/>
    <w:link w:val="92"/>
    <w:qFormat/>
    <w:uiPriority w:val="0"/>
    <w:pPr>
      <w:keepNext/>
      <w:keepLines/>
      <w:spacing w:before="240" w:after="64" w:line="320" w:lineRule="auto"/>
      <w:outlineLvl w:val="7"/>
    </w:pPr>
    <w:rPr>
      <w:rFonts w:ascii="Arial" w:hAnsi="Arial" w:eastAsia="黑体"/>
      <w:kern w:val="0"/>
      <w:sz w:val="24"/>
      <w:szCs w:val="24"/>
    </w:rPr>
  </w:style>
  <w:style w:type="paragraph" w:styleId="12">
    <w:name w:val="heading 9"/>
    <w:basedOn w:val="1"/>
    <w:next w:val="1"/>
    <w:link w:val="93"/>
    <w:qFormat/>
    <w:uiPriority w:val="0"/>
    <w:pPr>
      <w:keepNext/>
      <w:keepLines/>
      <w:spacing w:before="240" w:after="64" w:line="320" w:lineRule="auto"/>
      <w:outlineLvl w:val="8"/>
    </w:pPr>
    <w:rPr>
      <w:rFonts w:ascii="Arial" w:hAnsi="Arial" w:eastAsia="黑体"/>
      <w:kern w:val="0"/>
      <w:sz w:val="20"/>
      <w:szCs w:val="21"/>
    </w:rPr>
  </w:style>
  <w:style w:type="character" w:default="1" w:styleId="66">
    <w:name w:val="Default Paragraph Font"/>
    <w:unhideWhenUsed/>
    <w:uiPriority w:val="1"/>
  </w:style>
  <w:style w:type="table" w:default="1" w:styleId="64">
    <w:name w:val="Normal Table"/>
    <w:semiHidden/>
    <w:unhideWhenUsed/>
    <w:uiPriority w:val="99"/>
    <w:tblPr>
      <w:tblCellMar>
        <w:top w:w="0" w:type="dxa"/>
        <w:left w:w="108" w:type="dxa"/>
        <w:bottom w:w="0" w:type="dxa"/>
        <w:right w:w="108" w:type="dxa"/>
      </w:tblCellMar>
    </w:tblPr>
  </w:style>
  <w:style w:type="paragraph" w:styleId="2">
    <w:name w:val="macro"/>
    <w:link w:val="493"/>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styleId="5">
    <w:name w:val="Normal Indent"/>
    <w:basedOn w:val="1"/>
    <w:link w:val="86"/>
    <w:qFormat/>
    <w:uiPriority w:val="0"/>
    <w:pPr>
      <w:ind w:firstLine="420"/>
    </w:pPr>
  </w:style>
  <w:style w:type="paragraph" w:styleId="13">
    <w:name w:val="List 3"/>
    <w:basedOn w:val="1"/>
    <w:qFormat/>
    <w:uiPriority w:val="0"/>
    <w:pPr>
      <w:ind w:left="1260" w:hanging="420"/>
    </w:pPr>
  </w:style>
  <w:style w:type="paragraph" w:styleId="14">
    <w:name w:val="toc 7"/>
    <w:basedOn w:val="1"/>
    <w:next w:val="1"/>
    <w:unhideWhenUsed/>
    <w:qFormat/>
    <w:uiPriority w:val="39"/>
    <w:pPr>
      <w:ind w:left="1260"/>
      <w:jc w:val="left"/>
    </w:pPr>
    <w:rPr>
      <w:rFonts w:ascii="Calibri" w:hAnsi="Calibri" w:cs="Calibri"/>
      <w:sz w:val="18"/>
      <w:szCs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table of authorities"/>
    <w:basedOn w:val="1"/>
    <w:next w:val="1"/>
    <w:qFormat/>
    <w:uiPriority w:val="0"/>
    <w:pPr>
      <w:ind w:left="420" w:leftChars="200"/>
    </w:pPr>
    <w:rPr>
      <w:szCs w:val="24"/>
    </w:rPr>
  </w:style>
  <w:style w:type="paragraph" w:styleId="17">
    <w:name w:val="Note Heading"/>
    <w:basedOn w:val="1"/>
    <w:next w:val="1"/>
    <w:link w:val="495"/>
    <w:qFormat/>
    <w:uiPriority w:val="0"/>
    <w:pPr>
      <w:widowControl/>
      <w:spacing w:before="100" w:beforeAutospacing="1" w:after="100" w:afterAutospacing="1" w:line="360" w:lineRule="auto"/>
      <w:ind w:firstLine="480"/>
      <w:jc w:val="left"/>
    </w:pPr>
    <w:rPr>
      <w:rFonts w:ascii="宋体" w:hAnsi="宋体"/>
      <w:kern w:val="11"/>
      <w:sz w:val="24"/>
      <w:szCs w:val="24"/>
    </w:rPr>
  </w:style>
  <w:style w:type="paragraph" w:styleId="18">
    <w:name w:val="E-mail Signature"/>
    <w:basedOn w:val="1"/>
    <w:link w:val="496"/>
    <w:qFormat/>
    <w:uiPriority w:val="0"/>
    <w:pPr>
      <w:widowControl/>
      <w:spacing w:before="100" w:beforeAutospacing="1" w:after="100" w:afterAutospacing="1" w:line="360" w:lineRule="auto"/>
      <w:ind w:firstLine="480"/>
      <w:jc w:val="left"/>
    </w:pPr>
    <w:rPr>
      <w:rFonts w:ascii="宋体" w:hAnsi="宋体"/>
      <w:kern w:val="11"/>
      <w:sz w:val="24"/>
      <w:szCs w:val="24"/>
    </w:rPr>
  </w:style>
  <w:style w:type="paragraph" w:styleId="19">
    <w:name w:val="List Number"/>
    <w:basedOn w:val="1"/>
    <w:qFormat/>
    <w:uiPriority w:val="0"/>
    <w:pPr>
      <w:tabs>
        <w:tab w:val="left" w:pos="2952"/>
      </w:tabs>
      <w:ind w:left="2952" w:hanging="432"/>
    </w:pPr>
    <w:rPr>
      <w:szCs w:val="24"/>
    </w:rPr>
  </w:style>
  <w:style w:type="paragraph" w:styleId="20">
    <w:name w:val="caption"/>
    <w:basedOn w:val="1"/>
    <w:next w:val="1"/>
    <w:qFormat/>
    <w:uiPriority w:val="0"/>
    <w:rPr>
      <w:rFonts w:ascii="Cambria" w:hAnsi="Cambria" w:eastAsia="黑体"/>
      <w:sz w:val="20"/>
    </w:rPr>
  </w:style>
  <w:style w:type="paragraph" w:styleId="21">
    <w:name w:val="index 5"/>
    <w:basedOn w:val="1"/>
    <w:next w:val="1"/>
    <w:qFormat/>
    <w:uiPriority w:val="0"/>
    <w:pPr>
      <w:spacing w:line="360" w:lineRule="auto"/>
      <w:ind w:left="800" w:leftChars="800"/>
    </w:pPr>
    <w:rPr>
      <w:sz w:val="24"/>
      <w:szCs w:val="24"/>
    </w:rPr>
  </w:style>
  <w:style w:type="paragraph" w:styleId="22">
    <w:name w:val="List Bullet"/>
    <w:basedOn w:val="23"/>
    <w:qFormat/>
    <w:uiPriority w:val="0"/>
    <w:pPr>
      <w:widowControl/>
      <w:numPr>
        <w:ilvl w:val="1"/>
        <w:numId w:val="1"/>
      </w:numPr>
      <w:adjustRightInd/>
      <w:spacing w:line="300" w:lineRule="auto"/>
      <w:ind w:firstLine="0"/>
    </w:pPr>
    <w:rPr>
      <w:rFonts w:hint="default" w:hAnsi="宋体" w:eastAsia="幼圆"/>
      <w:spacing w:val="-5"/>
      <w:szCs w:val="24"/>
      <w:lang w:val="zh-CN"/>
    </w:rPr>
  </w:style>
  <w:style w:type="paragraph" w:styleId="23">
    <w:name w:val="List"/>
    <w:basedOn w:val="1"/>
    <w:qFormat/>
    <w:uiPriority w:val="0"/>
    <w:pPr>
      <w:adjustRightInd w:val="0"/>
      <w:spacing w:line="360" w:lineRule="atLeast"/>
      <w:ind w:left="420" w:hanging="420"/>
      <w:jc w:val="left"/>
    </w:pPr>
    <w:rPr>
      <w:rFonts w:hint="eastAsia" w:ascii="宋体"/>
      <w:kern w:val="0"/>
      <w:sz w:val="24"/>
    </w:rPr>
  </w:style>
  <w:style w:type="paragraph" w:styleId="24">
    <w:name w:val="Document Map"/>
    <w:basedOn w:val="1"/>
    <w:link w:val="94"/>
    <w:qFormat/>
    <w:uiPriority w:val="0"/>
    <w:pPr>
      <w:shd w:val="clear" w:color="auto" w:fill="000080"/>
    </w:pPr>
    <w:rPr>
      <w:kern w:val="0"/>
      <w:sz w:val="20"/>
    </w:rPr>
  </w:style>
  <w:style w:type="paragraph" w:styleId="25">
    <w:name w:val="annotation text"/>
    <w:basedOn w:val="1"/>
    <w:link w:val="95"/>
    <w:unhideWhenUsed/>
    <w:qFormat/>
    <w:uiPriority w:val="0"/>
    <w:pPr>
      <w:jc w:val="left"/>
    </w:pPr>
    <w:rPr>
      <w:kern w:val="0"/>
      <w:sz w:val="20"/>
    </w:rPr>
  </w:style>
  <w:style w:type="paragraph" w:styleId="26">
    <w:name w:val="Salutation"/>
    <w:basedOn w:val="1"/>
    <w:next w:val="1"/>
    <w:link w:val="96"/>
    <w:qFormat/>
    <w:uiPriority w:val="0"/>
    <w:rPr>
      <w:rFonts w:ascii="仿宋_GB2312" w:eastAsia="仿宋_GB2312"/>
      <w:kern w:val="0"/>
      <w:sz w:val="28"/>
    </w:rPr>
  </w:style>
  <w:style w:type="paragraph" w:styleId="27">
    <w:name w:val="Body Text 3"/>
    <w:basedOn w:val="1"/>
    <w:link w:val="97"/>
    <w:qFormat/>
    <w:uiPriority w:val="0"/>
    <w:rPr>
      <w:rFonts w:ascii="仿宋_GB2312" w:hAnsi="Arial" w:eastAsia="仿宋_GB2312"/>
      <w:kern w:val="0"/>
      <w:sz w:val="32"/>
    </w:rPr>
  </w:style>
  <w:style w:type="paragraph" w:styleId="28">
    <w:name w:val="Closing"/>
    <w:basedOn w:val="1"/>
    <w:link w:val="497"/>
    <w:qFormat/>
    <w:uiPriority w:val="0"/>
    <w:pPr>
      <w:widowControl/>
      <w:spacing w:before="100" w:beforeAutospacing="1" w:after="100" w:afterAutospacing="1" w:line="360" w:lineRule="auto"/>
      <w:ind w:left="100" w:leftChars="2100" w:firstLine="480"/>
      <w:jc w:val="left"/>
    </w:pPr>
    <w:rPr>
      <w:rFonts w:ascii="宋体" w:hAnsi="宋体"/>
      <w:kern w:val="11"/>
      <w:sz w:val="24"/>
      <w:szCs w:val="24"/>
    </w:rPr>
  </w:style>
  <w:style w:type="paragraph" w:styleId="29">
    <w:name w:val="Body Text"/>
    <w:basedOn w:val="1"/>
    <w:next w:val="1"/>
    <w:link w:val="98"/>
    <w:qFormat/>
    <w:uiPriority w:val="0"/>
    <w:rPr>
      <w:rFonts w:ascii="楷体_GB2312" w:hAnsi="Arial" w:eastAsia="楷体_GB2312"/>
      <w:kern w:val="0"/>
      <w:sz w:val="28"/>
    </w:rPr>
  </w:style>
  <w:style w:type="paragraph" w:styleId="30">
    <w:name w:val="Body Text Indent"/>
    <w:basedOn w:val="1"/>
    <w:link w:val="99"/>
    <w:qFormat/>
    <w:uiPriority w:val="0"/>
    <w:pPr>
      <w:ind w:firstLine="645"/>
    </w:pPr>
    <w:rPr>
      <w:rFonts w:ascii="楷体_GB2312" w:eastAsia="楷体_GB2312"/>
      <w:kern w:val="0"/>
      <w:sz w:val="32"/>
    </w:rPr>
  </w:style>
  <w:style w:type="paragraph" w:styleId="31">
    <w:name w:val="Block Text"/>
    <w:basedOn w:val="1"/>
    <w:next w:val="1"/>
    <w:unhideWhenUsed/>
    <w:qFormat/>
    <w:uiPriority w:val="0"/>
    <w:pPr>
      <w:spacing w:after="120"/>
      <w:ind w:left="1440" w:leftChars="700" w:right="1440" w:rightChars="700"/>
    </w:pPr>
  </w:style>
  <w:style w:type="paragraph" w:styleId="32">
    <w:name w:val="HTML Address"/>
    <w:basedOn w:val="1"/>
    <w:link w:val="498"/>
    <w:qFormat/>
    <w:uiPriority w:val="0"/>
    <w:pPr>
      <w:widowControl/>
      <w:spacing w:before="100" w:beforeAutospacing="1" w:after="100" w:afterAutospacing="1" w:line="360" w:lineRule="auto"/>
      <w:ind w:firstLine="480"/>
      <w:jc w:val="left"/>
    </w:pPr>
    <w:rPr>
      <w:rFonts w:ascii="宋体" w:hAnsi="宋体"/>
      <w:i/>
      <w:iCs/>
      <w:kern w:val="11"/>
      <w:sz w:val="24"/>
      <w:szCs w:val="24"/>
    </w:rPr>
  </w:style>
  <w:style w:type="paragraph" w:styleId="33">
    <w:name w:val="index 4"/>
    <w:basedOn w:val="1"/>
    <w:next w:val="1"/>
    <w:unhideWhenUsed/>
    <w:qFormat/>
    <w:uiPriority w:val="0"/>
    <w:pPr>
      <w:ind w:left="600" w:leftChars="600"/>
    </w:pPr>
    <w:rPr>
      <w:rFonts w:ascii="Verdana" w:hAnsi="Verdana"/>
    </w:rPr>
  </w:style>
  <w:style w:type="paragraph" w:styleId="34">
    <w:name w:val="toc 5"/>
    <w:basedOn w:val="1"/>
    <w:next w:val="1"/>
    <w:unhideWhenUsed/>
    <w:uiPriority w:val="39"/>
    <w:pPr>
      <w:ind w:left="840"/>
      <w:jc w:val="left"/>
    </w:pPr>
    <w:rPr>
      <w:rFonts w:ascii="Calibri" w:hAnsi="Calibri" w:cs="Calibri"/>
      <w:sz w:val="18"/>
      <w:szCs w:val="18"/>
    </w:rPr>
  </w:style>
  <w:style w:type="paragraph" w:styleId="35">
    <w:name w:val="toc 3"/>
    <w:basedOn w:val="1"/>
    <w:next w:val="1"/>
    <w:unhideWhenUsed/>
    <w:qFormat/>
    <w:uiPriority w:val="39"/>
    <w:pPr>
      <w:ind w:left="840" w:leftChars="400"/>
    </w:pPr>
  </w:style>
  <w:style w:type="paragraph" w:styleId="36">
    <w:name w:val="Plain Text"/>
    <w:basedOn w:val="1"/>
    <w:link w:val="100"/>
    <w:qFormat/>
    <w:uiPriority w:val="0"/>
    <w:rPr>
      <w:rFonts w:ascii="宋体" w:hAnsi="Courier New"/>
      <w:kern w:val="0"/>
      <w:sz w:val="20"/>
    </w:rPr>
  </w:style>
  <w:style w:type="paragraph" w:styleId="37">
    <w:name w:val="toc 8"/>
    <w:basedOn w:val="1"/>
    <w:next w:val="1"/>
    <w:unhideWhenUsed/>
    <w:uiPriority w:val="39"/>
    <w:pPr>
      <w:ind w:left="1470"/>
      <w:jc w:val="left"/>
    </w:pPr>
    <w:rPr>
      <w:rFonts w:ascii="Calibri" w:hAnsi="Calibri" w:cs="Calibri"/>
      <w:sz w:val="18"/>
      <w:szCs w:val="18"/>
    </w:rPr>
  </w:style>
  <w:style w:type="paragraph" w:styleId="38">
    <w:name w:val="Date"/>
    <w:basedOn w:val="1"/>
    <w:next w:val="1"/>
    <w:link w:val="101"/>
    <w:qFormat/>
    <w:uiPriority w:val="0"/>
    <w:pPr>
      <w:ind w:left="100" w:leftChars="2500"/>
    </w:pPr>
    <w:rPr>
      <w:kern w:val="0"/>
      <w:sz w:val="28"/>
    </w:rPr>
  </w:style>
  <w:style w:type="paragraph" w:styleId="39">
    <w:name w:val="Body Text Indent 2"/>
    <w:basedOn w:val="1"/>
    <w:link w:val="102"/>
    <w:qFormat/>
    <w:uiPriority w:val="0"/>
    <w:pPr>
      <w:ind w:left="630" w:firstLine="645"/>
    </w:pPr>
    <w:rPr>
      <w:rFonts w:ascii="Arial" w:hAnsi="Arial" w:eastAsia="仿宋_GB2312"/>
      <w:kern w:val="0"/>
      <w:sz w:val="32"/>
    </w:rPr>
  </w:style>
  <w:style w:type="paragraph" w:styleId="40">
    <w:name w:val="endnote text"/>
    <w:basedOn w:val="1"/>
    <w:link w:val="103"/>
    <w:qFormat/>
    <w:uiPriority w:val="0"/>
    <w:pPr>
      <w:snapToGrid w:val="0"/>
      <w:jc w:val="left"/>
    </w:pPr>
    <w:rPr>
      <w:kern w:val="0"/>
      <w:sz w:val="20"/>
      <w:szCs w:val="24"/>
    </w:rPr>
  </w:style>
  <w:style w:type="paragraph" w:styleId="41">
    <w:name w:val="Balloon Text"/>
    <w:basedOn w:val="1"/>
    <w:link w:val="104"/>
    <w:qFormat/>
    <w:uiPriority w:val="0"/>
    <w:rPr>
      <w:kern w:val="0"/>
      <w:sz w:val="18"/>
      <w:szCs w:val="18"/>
    </w:rPr>
  </w:style>
  <w:style w:type="paragraph" w:styleId="42">
    <w:name w:val="footer"/>
    <w:basedOn w:val="1"/>
    <w:link w:val="105"/>
    <w:qFormat/>
    <w:uiPriority w:val="99"/>
    <w:pPr>
      <w:tabs>
        <w:tab w:val="center" w:pos="4153"/>
        <w:tab w:val="right" w:pos="8306"/>
      </w:tabs>
      <w:snapToGrid w:val="0"/>
      <w:jc w:val="left"/>
    </w:pPr>
    <w:rPr>
      <w:kern w:val="0"/>
      <w:sz w:val="18"/>
    </w:rPr>
  </w:style>
  <w:style w:type="paragraph" w:styleId="43">
    <w:name w:val="envelope return"/>
    <w:basedOn w:val="1"/>
    <w:qFormat/>
    <w:uiPriority w:val="0"/>
    <w:pPr>
      <w:snapToGrid w:val="0"/>
    </w:pPr>
    <w:rPr>
      <w:rFonts w:ascii="Arial" w:hAnsi="Arial"/>
    </w:rPr>
  </w:style>
  <w:style w:type="paragraph" w:styleId="44">
    <w:name w:val="header"/>
    <w:basedOn w:val="1"/>
    <w:next w:val="45"/>
    <w:link w:val="106"/>
    <w:qFormat/>
    <w:uiPriority w:val="0"/>
    <w:pPr>
      <w:pBdr>
        <w:bottom w:val="single" w:color="auto" w:sz="6" w:space="1"/>
      </w:pBdr>
      <w:tabs>
        <w:tab w:val="center" w:pos="4153"/>
        <w:tab w:val="right" w:pos="8306"/>
      </w:tabs>
      <w:snapToGrid w:val="0"/>
      <w:jc w:val="center"/>
    </w:pPr>
    <w:rPr>
      <w:kern w:val="0"/>
      <w:sz w:val="18"/>
    </w:rPr>
  </w:style>
  <w:style w:type="paragraph" w:customStyle="1" w:styleId="45">
    <w:name w:val="引用1"/>
    <w:next w:val="1"/>
    <w:link w:val="559"/>
    <w:qFormat/>
    <w:uiPriority w:val="0"/>
    <w:pPr>
      <w:widowControl w:val="0"/>
      <w:ind w:left="864" w:right="864"/>
      <w:jc w:val="center"/>
    </w:pPr>
    <w:rPr>
      <w:rFonts w:ascii="Times New Roman" w:hAnsi="Times New Roman" w:eastAsia="宋体" w:cs="Times New Roman"/>
      <w:i/>
      <w:iCs/>
      <w:color w:val="404040"/>
      <w:kern w:val="2"/>
      <w:sz w:val="21"/>
      <w:szCs w:val="21"/>
      <w:lang w:val="en-US" w:eastAsia="zh-CN" w:bidi="ar-SA"/>
    </w:rPr>
  </w:style>
  <w:style w:type="paragraph" w:styleId="46">
    <w:name w:val="Signature"/>
    <w:basedOn w:val="1"/>
    <w:link w:val="107"/>
    <w:qFormat/>
    <w:uiPriority w:val="0"/>
    <w:pPr>
      <w:adjustRightInd w:val="0"/>
      <w:spacing w:after="600" w:line="312" w:lineRule="atLeast"/>
      <w:jc w:val="center"/>
      <w:textAlignment w:val="baseline"/>
    </w:pPr>
    <w:rPr>
      <w:rFonts w:eastAsia="仿宋_GB2312"/>
      <w:kern w:val="0"/>
      <w:sz w:val="24"/>
    </w:rPr>
  </w:style>
  <w:style w:type="paragraph" w:styleId="47">
    <w:name w:val="toc 1"/>
    <w:basedOn w:val="1"/>
    <w:next w:val="1"/>
    <w:qFormat/>
    <w:uiPriority w:val="39"/>
    <w:pPr>
      <w:spacing w:before="120" w:after="120"/>
      <w:jc w:val="left"/>
    </w:pPr>
    <w:rPr>
      <w:b/>
      <w:caps/>
      <w:sz w:val="20"/>
    </w:rPr>
  </w:style>
  <w:style w:type="paragraph" w:styleId="48">
    <w:name w:val="toc 4"/>
    <w:basedOn w:val="1"/>
    <w:next w:val="1"/>
    <w:unhideWhenUsed/>
    <w:uiPriority w:val="39"/>
    <w:pPr>
      <w:ind w:left="630"/>
      <w:jc w:val="left"/>
    </w:pPr>
    <w:rPr>
      <w:rFonts w:ascii="Calibri" w:hAnsi="Calibri" w:cs="Calibri"/>
      <w:sz w:val="18"/>
      <w:szCs w:val="18"/>
    </w:rPr>
  </w:style>
  <w:style w:type="paragraph" w:styleId="49">
    <w:name w:val="Subtitle"/>
    <w:basedOn w:val="1"/>
    <w:next w:val="1"/>
    <w:link w:val="108"/>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50">
    <w:name w:val="footnote text"/>
    <w:basedOn w:val="1"/>
    <w:link w:val="109"/>
    <w:qFormat/>
    <w:uiPriority w:val="0"/>
    <w:pPr>
      <w:snapToGrid w:val="0"/>
      <w:jc w:val="left"/>
    </w:pPr>
    <w:rPr>
      <w:kern w:val="0"/>
      <w:sz w:val="18"/>
      <w:szCs w:val="18"/>
    </w:rPr>
  </w:style>
  <w:style w:type="paragraph" w:styleId="51">
    <w:name w:val="toc 6"/>
    <w:basedOn w:val="1"/>
    <w:next w:val="1"/>
    <w:unhideWhenUsed/>
    <w:qFormat/>
    <w:uiPriority w:val="39"/>
    <w:pPr>
      <w:ind w:left="1050"/>
      <w:jc w:val="left"/>
    </w:pPr>
    <w:rPr>
      <w:rFonts w:ascii="Calibri" w:hAnsi="Calibri" w:cs="Calibri"/>
      <w:sz w:val="18"/>
      <w:szCs w:val="18"/>
    </w:rPr>
  </w:style>
  <w:style w:type="paragraph" w:styleId="52">
    <w:name w:val="Body Text Indent 3"/>
    <w:basedOn w:val="1"/>
    <w:link w:val="110"/>
    <w:qFormat/>
    <w:uiPriority w:val="0"/>
    <w:pPr>
      <w:ind w:left="645" w:firstLine="645"/>
    </w:pPr>
    <w:rPr>
      <w:rFonts w:ascii="Arial" w:hAnsi="Arial" w:eastAsia="仿宋_GB2312"/>
      <w:color w:val="FFFF00"/>
      <w:kern w:val="0"/>
      <w:sz w:val="32"/>
    </w:rPr>
  </w:style>
  <w:style w:type="paragraph" w:styleId="53">
    <w:name w:val="toc 2"/>
    <w:basedOn w:val="1"/>
    <w:next w:val="1"/>
    <w:unhideWhenUsed/>
    <w:qFormat/>
    <w:uiPriority w:val="39"/>
    <w:pPr>
      <w:ind w:left="420" w:leftChars="200"/>
    </w:pPr>
  </w:style>
  <w:style w:type="paragraph" w:styleId="54">
    <w:name w:val="toc 9"/>
    <w:basedOn w:val="1"/>
    <w:next w:val="1"/>
    <w:unhideWhenUsed/>
    <w:qFormat/>
    <w:uiPriority w:val="39"/>
    <w:pPr>
      <w:ind w:left="1680"/>
      <w:jc w:val="left"/>
    </w:pPr>
    <w:rPr>
      <w:rFonts w:ascii="Calibri" w:hAnsi="Calibri" w:cs="Calibri"/>
      <w:sz w:val="18"/>
      <w:szCs w:val="18"/>
    </w:rPr>
  </w:style>
  <w:style w:type="paragraph" w:styleId="55">
    <w:name w:val="Body Text 2"/>
    <w:basedOn w:val="1"/>
    <w:link w:val="111"/>
    <w:qFormat/>
    <w:uiPriority w:val="0"/>
    <w:pPr>
      <w:widowControl/>
      <w:jc w:val="center"/>
    </w:pPr>
    <w:rPr>
      <w:rFonts w:ascii="楷体_GB2312" w:eastAsia="楷体_GB2312"/>
      <w:kern w:val="0"/>
      <w:sz w:val="28"/>
    </w:rPr>
  </w:style>
  <w:style w:type="paragraph" w:styleId="56">
    <w:name w:val="Message Header"/>
    <w:basedOn w:val="1"/>
    <w:link w:val="499"/>
    <w:qFormat/>
    <w:uiPriority w:val="0"/>
    <w:pPr>
      <w:widowControl/>
      <w:pBdr>
        <w:top w:val="single" w:color="auto" w:sz="6" w:space="1"/>
        <w:left w:val="single" w:color="auto" w:sz="6" w:space="1"/>
        <w:bottom w:val="single" w:color="auto" w:sz="6" w:space="1"/>
        <w:right w:val="single" w:color="auto" w:sz="6" w:space="1"/>
      </w:pBdr>
      <w:shd w:val="pct20" w:color="auto" w:fill="auto"/>
      <w:spacing w:before="100" w:beforeAutospacing="1" w:after="100" w:afterAutospacing="1" w:line="360" w:lineRule="auto"/>
      <w:ind w:left="1080" w:leftChars="500" w:hanging="1080" w:hangingChars="500"/>
      <w:jc w:val="left"/>
    </w:pPr>
    <w:rPr>
      <w:rFonts w:ascii="Cambria" w:hAnsi="Cambria"/>
      <w:kern w:val="11"/>
      <w:sz w:val="24"/>
      <w:szCs w:val="24"/>
    </w:rPr>
  </w:style>
  <w:style w:type="paragraph" w:styleId="57">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8">
    <w:name w:val="Normal (Web)"/>
    <w:basedOn w:val="1"/>
    <w:link w:val="500"/>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9">
    <w:name w:val="index 1"/>
    <w:basedOn w:val="1"/>
    <w:next w:val="1"/>
    <w:qFormat/>
    <w:uiPriority w:val="0"/>
    <w:rPr>
      <w:rFonts w:ascii="仿宋_GB2312" w:hAnsi="宋体" w:eastAsia="仿宋_GB2312"/>
      <w:sz w:val="30"/>
      <w:szCs w:val="24"/>
    </w:rPr>
  </w:style>
  <w:style w:type="paragraph" w:styleId="60">
    <w:name w:val="Title"/>
    <w:basedOn w:val="1"/>
    <w:link w:val="113"/>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61">
    <w:name w:val="annotation subject"/>
    <w:basedOn w:val="25"/>
    <w:next w:val="25"/>
    <w:link w:val="114"/>
    <w:qFormat/>
    <w:uiPriority w:val="0"/>
    <w:rPr>
      <w:b/>
      <w:bCs/>
    </w:rPr>
  </w:style>
  <w:style w:type="paragraph" w:styleId="62">
    <w:name w:val="Body Text First Indent"/>
    <w:basedOn w:val="29"/>
    <w:link w:val="115"/>
    <w:qFormat/>
    <w:uiPriority w:val="0"/>
    <w:pPr>
      <w:spacing w:after="120"/>
      <w:ind w:firstLine="420" w:firstLineChars="100"/>
    </w:pPr>
    <w:rPr>
      <w:rFonts w:ascii="Times New Roman" w:hAnsi="Times New Roman" w:eastAsia="宋体"/>
      <w:szCs w:val="24"/>
    </w:rPr>
  </w:style>
  <w:style w:type="paragraph" w:styleId="63">
    <w:name w:val="Body Text First Indent 2"/>
    <w:basedOn w:val="30"/>
    <w:link w:val="116"/>
    <w:qFormat/>
    <w:uiPriority w:val="0"/>
    <w:pPr>
      <w:spacing w:after="120"/>
      <w:ind w:left="420" w:leftChars="200" w:firstLine="420" w:firstLineChars="200"/>
    </w:pPr>
    <w:rPr>
      <w:rFonts w:ascii="Times New Roman" w:eastAsia="宋体"/>
      <w:kern w:val="2"/>
      <w:sz w:val="21"/>
    </w:rPr>
  </w:style>
  <w:style w:type="table" w:styleId="65">
    <w:name w:val="Table Grid"/>
    <w:basedOn w:val="6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7">
    <w:name w:val="Strong"/>
    <w:qFormat/>
    <w:uiPriority w:val="0"/>
    <w:rPr>
      <w:b/>
      <w:bCs/>
    </w:rPr>
  </w:style>
  <w:style w:type="character" w:styleId="68">
    <w:name w:val="endnote reference"/>
    <w:qFormat/>
    <w:uiPriority w:val="0"/>
    <w:rPr>
      <w:vertAlign w:val="superscript"/>
    </w:rPr>
  </w:style>
  <w:style w:type="character" w:styleId="69">
    <w:name w:val="page number"/>
    <w:qFormat/>
    <w:uiPriority w:val="0"/>
  </w:style>
  <w:style w:type="character" w:styleId="70">
    <w:name w:val="FollowedHyperlink"/>
    <w:qFormat/>
    <w:uiPriority w:val="99"/>
    <w:rPr>
      <w:color w:val="0076BE"/>
      <w:u w:val="none"/>
    </w:rPr>
  </w:style>
  <w:style w:type="character" w:styleId="71">
    <w:name w:val="Emphasis"/>
    <w:qFormat/>
    <w:uiPriority w:val="20"/>
    <w:rPr>
      <w:b/>
      <w:bCs/>
      <w:i/>
      <w:iCs/>
      <w:spacing w:val="10"/>
      <w:shd w:val="clear" w:color="auto" w:fill="auto"/>
    </w:rPr>
  </w:style>
  <w:style w:type="character" w:styleId="72">
    <w:name w:val="line number"/>
    <w:qFormat/>
    <w:uiPriority w:val="0"/>
  </w:style>
  <w:style w:type="character" w:styleId="73">
    <w:name w:val="HTML Definition"/>
    <w:qFormat/>
    <w:uiPriority w:val="0"/>
  </w:style>
  <w:style w:type="character" w:styleId="74">
    <w:name w:val="HTML Typewriter"/>
    <w:qFormat/>
    <w:uiPriority w:val="99"/>
    <w:rPr>
      <w:rFonts w:ascii="宋体" w:hAnsi="宋体" w:eastAsia="宋体" w:cs="宋体"/>
      <w:sz w:val="24"/>
      <w:szCs w:val="24"/>
    </w:rPr>
  </w:style>
  <w:style w:type="character" w:styleId="75">
    <w:name w:val="HTML Acronym"/>
    <w:qFormat/>
    <w:uiPriority w:val="99"/>
  </w:style>
  <w:style w:type="character" w:styleId="76">
    <w:name w:val="HTML Variable"/>
    <w:qFormat/>
    <w:uiPriority w:val="0"/>
  </w:style>
  <w:style w:type="character" w:styleId="77">
    <w:name w:val="Hyperlink"/>
    <w:qFormat/>
    <w:uiPriority w:val="99"/>
    <w:rPr>
      <w:color w:val="0076BE"/>
      <w:u w:val="none"/>
    </w:rPr>
  </w:style>
  <w:style w:type="character" w:styleId="78">
    <w:name w:val="HTML Code"/>
    <w:qFormat/>
    <w:uiPriority w:val="99"/>
    <w:rPr>
      <w:rFonts w:ascii="Courier New" w:hAnsi="Courier New"/>
      <w:sz w:val="20"/>
    </w:rPr>
  </w:style>
  <w:style w:type="character" w:styleId="79">
    <w:name w:val="annotation reference"/>
    <w:qFormat/>
    <w:uiPriority w:val="0"/>
    <w:rPr>
      <w:sz w:val="21"/>
    </w:rPr>
  </w:style>
  <w:style w:type="character" w:styleId="80">
    <w:name w:val="HTML Cite"/>
    <w:qFormat/>
    <w:uiPriority w:val="0"/>
  </w:style>
  <w:style w:type="character" w:styleId="81">
    <w:name w:val="footnote reference"/>
    <w:qFormat/>
    <w:uiPriority w:val="0"/>
    <w:rPr>
      <w:vertAlign w:val="superscript"/>
    </w:rPr>
  </w:style>
  <w:style w:type="character" w:styleId="82">
    <w:name w:val="HTML Keyboard"/>
    <w:qFormat/>
    <w:uiPriority w:val="99"/>
    <w:rPr>
      <w:rFonts w:ascii="monospace" w:hAnsi="monospace" w:cs="monospace"/>
      <w:sz w:val="20"/>
    </w:rPr>
  </w:style>
  <w:style w:type="character" w:styleId="83">
    <w:name w:val="HTML Sample"/>
    <w:qFormat/>
    <w:uiPriority w:val="99"/>
    <w:rPr>
      <w:rFonts w:ascii="Courier New" w:hAnsi="宋体" w:eastAsia="宋体" w:cs="Courier New"/>
    </w:rPr>
  </w:style>
  <w:style w:type="character" w:customStyle="1" w:styleId="84">
    <w:name w:val="标题 1 Char"/>
    <w:link w:val="3"/>
    <w:qFormat/>
    <w:uiPriority w:val="0"/>
    <w:rPr>
      <w:rFonts w:ascii="黑体" w:hAnsi="Times New Roman" w:eastAsia="黑体" w:cs="Times New Roman"/>
      <w:b/>
      <w:kern w:val="44"/>
      <w:sz w:val="24"/>
      <w:szCs w:val="28"/>
    </w:rPr>
  </w:style>
  <w:style w:type="character" w:customStyle="1" w:styleId="85">
    <w:name w:val="标题 2 Char"/>
    <w:link w:val="4"/>
    <w:qFormat/>
    <w:uiPriority w:val="0"/>
    <w:rPr>
      <w:rFonts w:ascii="宋体" w:hAnsi="宋体" w:eastAsia="宋体" w:cs="Times New Roman"/>
      <w:b/>
      <w:szCs w:val="24"/>
    </w:rPr>
  </w:style>
  <w:style w:type="character" w:customStyle="1" w:styleId="86">
    <w:name w:val="正文缩进 Char"/>
    <w:link w:val="5"/>
    <w:qFormat/>
    <w:locked/>
    <w:uiPriority w:val="0"/>
    <w:rPr>
      <w:rFonts w:ascii="Times New Roman" w:hAnsi="Times New Roman"/>
      <w:kern w:val="2"/>
      <w:sz w:val="21"/>
    </w:rPr>
  </w:style>
  <w:style w:type="character" w:customStyle="1" w:styleId="87">
    <w:name w:val="标题 3 Char2"/>
    <w:link w:val="6"/>
    <w:uiPriority w:val="0"/>
    <w:rPr>
      <w:rFonts w:ascii="宋体" w:hAnsi="宋体" w:eastAsia="宋体" w:cs="Times New Roman"/>
      <w:b/>
      <w:szCs w:val="21"/>
      <w:shd w:val="clear" w:color="auto" w:fill="FFFFFF"/>
    </w:rPr>
  </w:style>
  <w:style w:type="character" w:customStyle="1" w:styleId="88">
    <w:name w:val="标题 4 Char"/>
    <w:link w:val="7"/>
    <w:qFormat/>
    <w:uiPriority w:val="0"/>
    <w:rPr>
      <w:rFonts w:ascii="Arial" w:hAnsi="Arial" w:eastAsia="黑体" w:cs="Times New Roman"/>
      <w:b/>
      <w:sz w:val="28"/>
      <w:szCs w:val="20"/>
    </w:rPr>
  </w:style>
  <w:style w:type="character" w:customStyle="1" w:styleId="89">
    <w:name w:val="标题 5 Char"/>
    <w:link w:val="8"/>
    <w:qFormat/>
    <w:uiPriority w:val="0"/>
    <w:rPr>
      <w:rFonts w:ascii="黑体" w:hAnsi="Times New Roman" w:eastAsia="黑体" w:cs="Times New Roman"/>
      <w:b/>
      <w:color w:val="000000"/>
      <w:kern w:val="0"/>
      <w:sz w:val="28"/>
      <w:szCs w:val="20"/>
    </w:rPr>
  </w:style>
  <w:style w:type="character" w:customStyle="1" w:styleId="90">
    <w:name w:val="标题 6 Char"/>
    <w:link w:val="9"/>
    <w:qFormat/>
    <w:uiPriority w:val="0"/>
    <w:rPr>
      <w:rFonts w:ascii="Arial" w:hAnsi="Arial" w:eastAsia="黑体" w:cs="Times New Roman"/>
      <w:b/>
      <w:bCs/>
      <w:sz w:val="24"/>
      <w:szCs w:val="24"/>
    </w:rPr>
  </w:style>
  <w:style w:type="character" w:customStyle="1" w:styleId="91">
    <w:name w:val="标题 7 Char"/>
    <w:link w:val="10"/>
    <w:qFormat/>
    <w:uiPriority w:val="0"/>
    <w:rPr>
      <w:rFonts w:ascii="Times New Roman" w:hAnsi="Times New Roman" w:eastAsia="宋体" w:cs="Times New Roman"/>
      <w:b/>
      <w:bCs/>
      <w:sz w:val="24"/>
      <w:szCs w:val="24"/>
    </w:rPr>
  </w:style>
  <w:style w:type="character" w:customStyle="1" w:styleId="92">
    <w:name w:val="标题 8 Char"/>
    <w:link w:val="11"/>
    <w:qFormat/>
    <w:uiPriority w:val="0"/>
    <w:rPr>
      <w:rFonts w:ascii="Arial" w:hAnsi="Arial" w:eastAsia="黑体" w:cs="Times New Roman"/>
      <w:sz w:val="24"/>
      <w:szCs w:val="24"/>
    </w:rPr>
  </w:style>
  <w:style w:type="character" w:customStyle="1" w:styleId="93">
    <w:name w:val="标题 9 Char"/>
    <w:link w:val="12"/>
    <w:qFormat/>
    <w:uiPriority w:val="0"/>
    <w:rPr>
      <w:rFonts w:ascii="Arial" w:hAnsi="Arial" w:eastAsia="黑体" w:cs="Times New Roman"/>
      <w:szCs w:val="21"/>
    </w:rPr>
  </w:style>
  <w:style w:type="character" w:customStyle="1" w:styleId="94">
    <w:name w:val="文档结构图 Char"/>
    <w:link w:val="24"/>
    <w:qFormat/>
    <w:uiPriority w:val="0"/>
    <w:rPr>
      <w:rFonts w:eastAsia="宋体"/>
      <w:shd w:val="clear" w:color="auto" w:fill="000080"/>
    </w:rPr>
  </w:style>
  <w:style w:type="character" w:customStyle="1" w:styleId="95">
    <w:name w:val="批注文字 Char1"/>
    <w:link w:val="25"/>
    <w:qFormat/>
    <w:uiPriority w:val="99"/>
    <w:rPr>
      <w:rFonts w:ascii="Times New Roman" w:hAnsi="Times New Roman" w:eastAsia="宋体" w:cs="Times New Roman"/>
      <w:szCs w:val="20"/>
    </w:rPr>
  </w:style>
  <w:style w:type="character" w:customStyle="1" w:styleId="96">
    <w:name w:val="称呼 Char"/>
    <w:link w:val="26"/>
    <w:qFormat/>
    <w:uiPriority w:val="0"/>
    <w:rPr>
      <w:rFonts w:ascii="仿宋_GB2312" w:hAnsi="Times New Roman" w:eastAsia="仿宋_GB2312" w:cs="Times New Roman"/>
      <w:sz w:val="28"/>
      <w:szCs w:val="20"/>
    </w:rPr>
  </w:style>
  <w:style w:type="character" w:customStyle="1" w:styleId="97">
    <w:name w:val="正文文本 3 Char"/>
    <w:link w:val="27"/>
    <w:qFormat/>
    <w:uiPriority w:val="0"/>
    <w:rPr>
      <w:rFonts w:ascii="仿宋_GB2312" w:hAnsi="Arial" w:eastAsia="仿宋_GB2312" w:cs="Times New Roman"/>
      <w:sz w:val="32"/>
      <w:szCs w:val="20"/>
    </w:rPr>
  </w:style>
  <w:style w:type="character" w:customStyle="1" w:styleId="98">
    <w:name w:val="正文文本 Char"/>
    <w:link w:val="29"/>
    <w:qFormat/>
    <w:uiPriority w:val="0"/>
    <w:rPr>
      <w:rFonts w:ascii="楷体_GB2312" w:hAnsi="Arial" w:eastAsia="楷体_GB2312" w:cs="Times New Roman"/>
      <w:sz w:val="28"/>
      <w:szCs w:val="20"/>
    </w:rPr>
  </w:style>
  <w:style w:type="character" w:customStyle="1" w:styleId="99">
    <w:name w:val="正文文本缩进 Char"/>
    <w:link w:val="30"/>
    <w:qFormat/>
    <w:uiPriority w:val="0"/>
    <w:rPr>
      <w:rFonts w:ascii="楷体_GB2312" w:eastAsia="楷体_GB2312"/>
      <w:sz w:val="32"/>
    </w:rPr>
  </w:style>
  <w:style w:type="character" w:customStyle="1" w:styleId="100">
    <w:name w:val="纯文本 Char"/>
    <w:link w:val="36"/>
    <w:qFormat/>
    <w:uiPriority w:val="0"/>
    <w:rPr>
      <w:rFonts w:ascii="宋体" w:hAnsi="Courier New" w:eastAsia="宋体"/>
    </w:rPr>
  </w:style>
  <w:style w:type="character" w:customStyle="1" w:styleId="101">
    <w:name w:val="日期 Char"/>
    <w:link w:val="38"/>
    <w:qFormat/>
    <w:uiPriority w:val="0"/>
    <w:rPr>
      <w:rFonts w:ascii="Times New Roman" w:hAnsi="Times New Roman" w:eastAsia="宋体" w:cs="Times New Roman"/>
      <w:sz w:val="28"/>
      <w:szCs w:val="20"/>
    </w:rPr>
  </w:style>
  <w:style w:type="character" w:customStyle="1" w:styleId="102">
    <w:name w:val="正文文本缩进 2 Char"/>
    <w:link w:val="39"/>
    <w:qFormat/>
    <w:uiPriority w:val="0"/>
    <w:rPr>
      <w:rFonts w:ascii="Arial" w:hAnsi="Arial" w:eastAsia="仿宋_GB2312"/>
      <w:sz w:val="32"/>
    </w:rPr>
  </w:style>
  <w:style w:type="character" w:customStyle="1" w:styleId="103">
    <w:name w:val="尾注文本 Char"/>
    <w:link w:val="40"/>
    <w:qFormat/>
    <w:uiPriority w:val="0"/>
    <w:rPr>
      <w:rFonts w:ascii="Times New Roman" w:hAnsi="Times New Roman" w:eastAsia="宋体" w:cs="Times New Roman"/>
      <w:kern w:val="0"/>
      <w:sz w:val="20"/>
      <w:szCs w:val="24"/>
    </w:rPr>
  </w:style>
  <w:style w:type="character" w:customStyle="1" w:styleId="104">
    <w:name w:val="批注框文本 Char"/>
    <w:link w:val="41"/>
    <w:qFormat/>
    <w:uiPriority w:val="0"/>
    <w:rPr>
      <w:rFonts w:ascii="Times New Roman" w:hAnsi="Times New Roman" w:eastAsia="宋体" w:cs="Times New Roman"/>
      <w:sz w:val="18"/>
      <w:szCs w:val="18"/>
    </w:rPr>
  </w:style>
  <w:style w:type="character" w:customStyle="1" w:styleId="105">
    <w:name w:val="页脚 Char"/>
    <w:link w:val="42"/>
    <w:qFormat/>
    <w:uiPriority w:val="99"/>
    <w:rPr>
      <w:sz w:val="18"/>
    </w:rPr>
  </w:style>
  <w:style w:type="character" w:customStyle="1" w:styleId="106">
    <w:name w:val="页眉 Char"/>
    <w:link w:val="44"/>
    <w:qFormat/>
    <w:uiPriority w:val="0"/>
    <w:rPr>
      <w:rFonts w:ascii="Times New Roman" w:hAnsi="Times New Roman" w:eastAsia="宋体" w:cs="Times New Roman"/>
      <w:sz w:val="18"/>
      <w:szCs w:val="20"/>
    </w:rPr>
  </w:style>
  <w:style w:type="character" w:customStyle="1" w:styleId="107">
    <w:name w:val="签名 Char"/>
    <w:link w:val="46"/>
    <w:qFormat/>
    <w:uiPriority w:val="0"/>
    <w:rPr>
      <w:rFonts w:ascii="Times New Roman" w:hAnsi="Times New Roman" w:eastAsia="仿宋_GB2312" w:cs="Times New Roman"/>
      <w:kern w:val="0"/>
      <w:sz w:val="24"/>
      <w:szCs w:val="20"/>
    </w:rPr>
  </w:style>
  <w:style w:type="character" w:customStyle="1" w:styleId="108">
    <w:name w:val="副标题 Char"/>
    <w:link w:val="49"/>
    <w:qFormat/>
    <w:uiPriority w:val="0"/>
    <w:rPr>
      <w:rFonts w:ascii="Cambria" w:hAnsi="Cambria" w:eastAsia="宋体" w:cs="Times New Roman"/>
      <w:i/>
      <w:iCs/>
      <w:spacing w:val="13"/>
      <w:kern w:val="0"/>
      <w:sz w:val="24"/>
      <w:szCs w:val="24"/>
      <w:lang w:eastAsia="en-US" w:bidi="en-US"/>
    </w:rPr>
  </w:style>
  <w:style w:type="character" w:customStyle="1" w:styleId="109">
    <w:name w:val="脚注文本 Char"/>
    <w:link w:val="50"/>
    <w:qFormat/>
    <w:uiPriority w:val="0"/>
    <w:rPr>
      <w:rFonts w:ascii="Times New Roman" w:hAnsi="Times New Roman" w:eastAsia="宋体" w:cs="Times New Roman"/>
      <w:sz w:val="18"/>
      <w:szCs w:val="18"/>
    </w:rPr>
  </w:style>
  <w:style w:type="character" w:customStyle="1" w:styleId="110">
    <w:name w:val="正文文本缩进 3 Char"/>
    <w:link w:val="52"/>
    <w:qFormat/>
    <w:uiPriority w:val="0"/>
    <w:rPr>
      <w:rFonts w:ascii="Arial" w:hAnsi="Arial" w:eastAsia="仿宋_GB2312"/>
      <w:color w:val="FFFF00"/>
      <w:sz w:val="32"/>
    </w:rPr>
  </w:style>
  <w:style w:type="character" w:customStyle="1" w:styleId="111">
    <w:name w:val="正文文本 2 Char"/>
    <w:link w:val="55"/>
    <w:qFormat/>
    <w:uiPriority w:val="0"/>
    <w:rPr>
      <w:rFonts w:ascii="楷体_GB2312" w:hAnsi="Times New Roman" w:eastAsia="楷体_GB2312" w:cs="Times New Roman"/>
      <w:sz w:val="28"/>
      <w:szCs w:val="20"/>
    </w:rPr>
  </w:style>
  <w:style w:type="character" w:customStyle="1" w:styleId="112">
    <w:name w:val="HTML 预设格式 Char"/>
    <w:link w:val="57"/>
    <w:qFormat/>
    <w:uiPriority w:val="0"/>
    <w:rPr>
      <w:rFonts w:ascii="黑体" w:hAnsi="Courier New" w:eastAsia="黑体" w:cs="Courier New"/>
    </w:rPr>
  </w:style>
  <w:style w:type="character" w:customStyle="1" w:styleId="113">
    <w:name w:val="标题 Char"/>
    <w:link w:val="60"/>
    <w:qFormat/>
    <w:uiPriority w:val="0"/>
    <w:rPr>
      <w:rFonts w:eastAsia="黑体"/>
      <w:b/>
      <w:sz w:val="28"/>
      <w:lang w:val="en-GB"/>
    </w:rPr>
  </w:style>
  <w:style w:type="character" w:customStyle="1" w:styleId="114">
    <w:name w:val="批注主题 Char"/>
    <w:link w:val="61"/>
    <w:qFormat/>
    <w:uiPriority w:val="0"/>
    <w:rPr>
      <w:rFonts w:eastAsia="宋体"/>
      <w:b/>
      <w:bCs/>
    </w:rPr>
  </w:style>
  <w:style w:type="character" w:customStyle="1" w:styleId="115">
    <w:name w:val="正文首行缩进 Char"/>
    <w:link w:val="62"/>
    <w:qFormat/>
    <w:uiPriority w:val="0"/>
    <w:rPr>
      <w:rFonts w:ascii="Times New Roman" w:hAnsi="Times New Roman" w:eastAsia="宋体" w:cs="Times New Roman"/>
      <w:sz w:val="28"/>
      <w:szCs w:val="24"/>
    </w:rPr>
  </w:style>
  <w:style w:type="character" w:customStyle="1" w:styleId="116">
    <w:name w:val="正文首行缩进 2 Char"/>
    <w:link w:val="63"/>
    <w:qFormat/>
    <w:uiPriority w:val="0"/>
    <w:rPr>
      <w:rFonts w:ascii="楷体_GB2312" w:eastAsia="楷体_GB2312"/>
      <w:kern w:val="2"/>
      <w:sz w:val="21"/>
    </w:rPr>
  </w:style>
  <w:style w:type="character" w:customStyle="1" w:styleId="117">
    <w:name w:val="A2"/>
    <w:qFormat/>
    <w:uiPriority w:val="0"/>
    <w:rPr>
      <w:rFonts w:cs="Helvetica"/>
      <w:color w:val="000000"/>
      <w:sz w:val="18"/>
      <w:szCs w:val="18"/>
    </w:rPr>
  </w:style>
  <w:style w:type="character" w:customStyle="1" w:styleId="118">
    <w:name w:val="纯文本 Char Char Char1"/>
    <w:qFormat/>
    <w:uiPriority w:val="0"/>
    <w:rPr>
      <w:rFonts w:ascii="宋体" w:hAnsi="Courier New" w:eastAsia="宋体"/>
      <w:kern w:val="2"/>
      <w:sz w:val="21"/>
      <w:szCs w:val="21"/>
      <w:lang w:val="en-US" w:eastAsia="zh-CN" w:bidi="ar-SA"/>
    </w:rPr>
  </w:style>
  <w:style w:type="character" w:customStyle="1" w:styleId="119">
    <w:name w:val="t1"/>
    <w:qFormat/>
    <w:uiPriority w:val="0"/>
  </w:style>
  <w:style w:type="character" w:customStyle="1" w:styleId="120">
    <w:name w:val="point_normal1"/>
    <w:qFormat/>
    <w:uiPriority w:val="0"/>
    <w:rPr>
      <w:rFonts w:hint="default" w:ascii="Arial" w:hAnsi="Arial" w:cs="Arial"/>
      <w:sz w:val="18"/>
      <w:szCs w:val="18"/>
    </w:rPr>
  </w:style>
  <w:style w:type="character" w:customStyle="1" w:styleId="121">
    <w:name w:val="新图表正文 Char Char"/>
    <w:link w:val="122"/>
    <w:locked/>
    <w:uiPriority w:val="0"/>
    <w:rPr>
      <w:rFonts w:ascii="宋体" w:hAnsi="宋体"/>
      <w:kern w:val="2"/>
      <w:sz w:val="18"/>
      <w:szCs w:val="21"/>
      <w:lang w:val="en-US" w:eastAsia="zh-CN" w:bidi="ar-SA"/>
    </w:rPr>
  </w:style>
  <w:style w:type="paragraph" w:customStyle="1" w:styleId="122">
    <w:name w:val="新图表正文"/>
    <w:link w:val="121"/>
    <w:uiPriority w:val="0"/>
    <w:pPr>
      <w:jc w:val="both"/>
    </w:pPr>
    <w:rPr>
      <w:rFonts w:ascii="宋体" w:hAnsi="宋体" w:eastAsia="宋体" w:cs="Times New Roman"/>
      <w:kern w:val="2"/>
      <w:sz w:val="18"/>
      <w:szCs w:val="21"/>
      <w:lang w:val="en-US" w:eastAsia="zh-CN" w:bidi="ar-SA"/>
    </w:rPr>
  </w:style>
  <w:style w:type="character" w:customStyle="1" w:styleId="123">
    <w:name w:val="纯文本 Char Char"/>
    <w:uiPriority w:val="0"/>
    <w:rPr>
      <w:rFonts w:ascii="宋体" w:hAnsi="Courier New" w:eastAsia="宋体"/>
      <w:kern w:val="2"/>
      <w:sz w:val="21"/>
      <w:szCs w:val="21"/>
      <w:lang w:val="en-US" w:eastAsia="zh-CN" w:bidi="ar-SA"/>
    </w:rPr>
  </w:style>
  <w:style w:type="character" w:customStyle="1" w:styleId="124">
    <w:name w:val="华宇段落1 Char Char Char"/>
    <w:uiPriority w:val="0"/>
    <w:rPr>
      <w:rFonts w:eastAsia="宋体"/>
      <w:bCs/>
      <w:kern w:val="2"/>
      <w:sz w:val="24"/>
      <w:szCs w:val="24"/>
      <w:lang w:val="en-US" w:eastAsia="zh-CN" w:bidi="ar-SA"/>
    </w:rPr>
  </w:style>
  <w:style w:type="character" w:customStyle="1" w:styleId="125">
    <w:name w:val="Hyperlink.0"/>
    <w:qFormat/>
    <w:uiPriority w:val="0"/>
    <w:rPr>
      <w:lang w:val="en-US"/>
    </w:rPr>
  </w:style>
  <w:style w:type="character" w:customStyle="1" w:styleId="126">
    <w:name w:val="normalfont1"/>
    <w:qFormat/>
    <w:uiPriority w:val="0"/>
    <w:rPr>
      <w:rFonts w:hint="default" w:ascii="ˎ̥" w:hAnsi="ˎ̥"/>
      <w:sz w:val="18"/>
      <w:szCs w:val="18"/>
      <w:u w:val="none"/>
    </w:rPr>
  </w:style>
  <w:style w:type="character" w:customStyle="1" w:styleId="127">
    <w:name w:val="textcontents"/>
    <w:qFormat/>
    <w:uiPriority w:val="0"/>
  </w:style>
  <w:style w:type="character" w:customStyle="1" w:styleId="128">
    <w:name w:val="Char Char2"/>
    <w:link w:val="129"/>
    <w:qFormat/>
    <w:uiPriority w:val="0"/>
    <w:rPr>
      <w:rFonts w:ascii="宋体" w:hAnsi="Courier New" w:eastAsia="宋体"/>
      <w:kern w:val="2"/>
      <w:sz w:val="21"/>
      <w:szCs w:val="21"/>
      <w:lang w:val="en-US" w:eastAsia="zh-CN" w:bidi="ar-SA"/>
    </w:rPr>
  </w:style>
  <w:style w:type="paragraph" w:customStyle="1" w:styleId="129">
    <w:name w:val="Char3"/>
    <w:basedOn w:val="1"/>
    <w:link w:val="128"/>
    <w:qFormat/>
    <w:uiPriority w:val="0"/>
    <w:rPr>
      <w:rFonts w:ascii="宋体" w:hAnsi="Courier New"/>
      <w:szCs w:val="21"/>
    </w:rPr>
  </w:style>
  <w:style w:type="character" w:customStyle="1" w:styleId="130">
    <w:name w:val="Intense Reference"/>
    <w:qFormat/>
    <w:uiPriority w:val="0"/>
    <w:rPr>
      <w:smallCaps/>
      <w:spacing w:val="5"/>
      <w:u w:val="single"/>
    </w:rPr>
  </w:style>
  <w:style w:type="character" w:customStyle="1" w:styleId="131">
    <w:name w:val="ih151"/>
    <w:qFormat/>
    <w:uiPriority w:val="0"/>
    <w:rPr>
      <w:color w:val="666666"/>
      <w:sz w:val="18"/>
      <w:szCs w:val="18"/>
      <w:u w:val="none"/>
    </w:rPr>
  </w:style>
  <w:style w:type="character" w:customStyle="1" w:styleId="132">
    <w:name w:val="华宇段落1 Char Char"/>
    <w:qFormat/>
    <w:uiPriority w:val="0"/>
    <w:rPr>
      <w:rFonts w:eastAsia="宋体"/>
      <w:bCs/>
      <w:kern w:val="2"/>
      <w:sz w:val="24"/>
      <w:szCs w:val="24"/>
      <w:lang w:val="en-US" w:eastAsia="zh-CN" w:bidi="ar-SA"/>
    </w:rPr>
  </w:style>
  <w:style w:type="character" w:customStyle="1" w:styleId="133">
    <w:name w:val="小四 段落 宋体 Char Char Char Char Char"/>
    <w:qFormat/>
    <w:uiPriority w:val="0"/>
    <w:rPr>
      <w:rFonts w:eastAsia="宋体"/>
      <w:kern w:val="2"/>
      <w:sz w:val="24"/>
      <w:szCs w:val="24"/>
      <w:lang w:val="en-US" w:eastAsia="zh-CN" w:bidi="ar-SA"/>
    </w:rPr>
  </w:style>
  <w:style w:type="character" w:customStyle="1" w:styleId="134">
    <w:name w:val="content"/>
    <w:qFormat/>
    <w:uiPriority w:val="0"/>
  </w:style>
  <w:style w:type="character" w:customStyle="1" w:styleId="135">
    <w:name w:val="正文文本缩进 3 Char1"/>
    <w:semiHidden/>
    <w:qFormat/>
    <w:uiPriority w:val="99"/>
    <w:rPr>
      <w:rFonts w:ascii="Times New Roman" w:hAnsi="Times New Roman" w:eastAsia="宋体" w:cs="Times New Roman"/>
      <w:sz w:val="16"/>
      <w:szCs w:val="16"/>
    </w:rPr>
  </w:style>
  <w:style w:type="character" w:customStyle="1" w:styleId="136">
    <w:name w:val="Char Char22"/>
    <w:qFormat/>
    <w:uiPriority w:val="0"/>
    <w:rPr>
      <w:b/>
      <w:bCs/>
      <w:kern w:val="2"/>
      <w:sz w:val="24"/>
      <w:szCs w:val="24"/>
    </w:rPr>
  </w:style>
  <w:style w:type="character" w:customStyle="1" w:styleId="137">
    <w:name w:val="批注主题 Char1"/>
    <w:qFormat/>
    <w:uiPriority w:val="0"/>
    <w:rPr>
      <w:rFonts w:ascii="Times New Roman" w:hAnsi="Times New Roman" w:eastAsia="宋体" w:cs="Times New Roman"/>
      <w:b/>
      <w:bCs/>
      <w:szCs w:val="20"/>
    </w:rPr>
  </w:style>
  <w:style w:type="character" w:customStyle="1" w:styleId="138">
    <w:name w:val="标题 2 Char1"/>
    <w:qFormat/>
    <w:locked/>
    <w:uiPriority w:val="0"/>
    <w:rPr>
      <w:rFonts w:ascii="Cambria" w:hAnsi="Cambria"/>
      <w:b/>
      <w:bCs/>
      <w:sz w:val="32"/>
      <w:szCs w:val="32"/>
    </w:rPr>
  </w:style>
  <w:style w:type="character" w:customStyle="1" w:styleId="139">
    <w:name w:val="文档结构图 Char1"/>
    <w:qFormat/>
    <w:uiPriority w:val="0"/>
    <w:rPr>
      <w:rFonts w:ascii="宋体" w:hAnsi="Times New Roman" w:eastAsia="宋体" w:cs="Times New Roman"/>
      <w:sz w:val="18"/>
      <w:szCs w:val="18"/>
    </w:rPr>
  </w:style>
  <w:style w:type="character" w:customStyle="1" w:styleId="140">
    <w:name w:val="listbenefit"/>
    <w:qFormat/>
    <w:uiPriority w:val="0"/>
  </w:style>
  <w:style w:type="character" w:customStyle="1" w:styleId="141">
    <w:name w:val="Char Char21"/>
    <w:qFormat/>
    <w:uiPriority w:val="0"/>
    <w:rPr>
      <w:rFonts w:ascii="Arial" w:hAnsi="Arial" w:eastAsia="黑体"/>
      <w:kern w:val="2"/>
      <w:sz w:val="24"/>
      <w:szCs w:val="24"/>
    </w:rPr>
  </w:style>
  <w:style w:type="character" w:customStyle="1" w:styleId="142">
    <w:name w:val="111111 Char"/>
    <w:link w:val="143"/>
    <w:qFormat/>
    <w:uiPriority w:val="0"/>
    <w:rPr>
      <w:rFonts w:ascii="宋体" w:hAnsi="宋体" w:eastAsia="黑体" w:cs="宋体"/>
      <w:b/>
      <w:bCs/>
      <w:szCs w:val="21"/>
    </w:rPr>
  </w:style>
  <w:style w:type="paragraph" w:customStyle="1" w:styleId="143">
    <w:name w:val="111111"/>
    <w:basedOn w:val="1"/>
    <w:link w:val="142"/>
    <w:qFormat/>
    <w:uiPriority w:val="0"/>
    <w:pPr>
      <w:spacing w:before="120" w:after="120"/>
      <w:jc w:val="center"/>
    </w:pPr>
    <w:rPr>
      <w:rFonts w:ascii="宋体" w:hAnsi="宋体" w:eastAsia="黑体"/>
      <w:b/>
      <w:bCs/>
      <w:kern w:val="0"/>
      <w:sz w:val="20"/>
      <w:szCs w:val="21"/>
    </w:rPr>
  </w:style>
  <w:style w:type="character" w:customStyle="1" w:styleId="144">
    <w:name w:val="Subtle Emphasis"/>
    <w:qFormat/>
    <w:uiPriority w:val="0"/>
    <w:rPr>
      <w:i/>
      <w:iCs/>
    </w:rPr>
  </w:style>
  <w:style w:type="character" w:customStyle="1" w:styleId="145">
    <w:name w:val="样式 首行缩进:  2 字符 Char"/>
    <w:qFormat/>
    <w:uiPriority w:val="0"/>
    <w:rPr>
      <w:rFonts w:eastAsia="宋体" w:cs="宋体"/>
      <w:kern w:val="2"/>
      <w:sz w:val="24"/>
      <w:lang w:val="en-US" w:eastAsia="zh-CN" w:bidi="ar-SA"/>
    </w:rPr>
  </w:style>
  <w:style w:type="character" w:customStyle="1" w:styleId="146">
    <w:name w:val="Char Char28"/>
    <w:qFormat/>
    <w:uiPriority w:val="0"/>
    <w:rPr>
      <w:rFonts w:ascii="Arial" w:hAnsi="Arial" w:eastAsia="黑体" w:cs="Arial"/>
      <w:b/>
      <w:bCs/>
      <w:sz w:val="32"/>
      <w:szCs w:val="32"/>
    </w:rPr>
  </w:style>
  <w:style w:type="character" w:customStyle="1" w:styleId="147">
    <w:name w:val="para_small"/>
    <w:qFormat/>
    <w:uiPriority w:val="0"/>
  </w:style>
  <w:style w:type="character" w:customStyle="1" w:styleId="148">
    <w:name w:val="样式 首行缩进:  2 字符 Char Char"/>
    <w:link w:val="149"/>
    <w:qFormat/>
    <w:uiPriority w:val="0"/>
    <w:rPr>
      <w:rFonts w:eastAsia="宋体" w:cs="宋体"/>
      <w:sz w:val="24"/>
    </w:rPr>
  </w:style>
  <w:style w:type="paragraph" w:customStyle="1" w:styleId="149">
    <w:name w:val="样式 首行缩进:  2 字符"/>
    <w:basedOn w:val="1"/>
    <w:link w:val="148"/>
    <w:qFormat/>
    <w:uiPriority w:val="0"/>
    <w:pPr>
      <w:spacing w:line="360" w:lineRule="auto"/>
      <w:ind w:firstLine="480" w:firstLineChars="200"/>
    </w:pPr>
    <w:rPr>
      <w:kern w:val="0"/>
      <w:sz w:val="24"/>
    </w:rPr>
  </w:style>
  <w:style w:type="character" w:customStyle="1" w:styleId="150">
    <w:name w:val="subtitle1"/>
    <w:qFormat/>
    <w:uiPriority w:val="0"/>
    <w:rPr>
      <w:rFonts w:hint="default" w:ascii="Georgia" w:hAnsi="Georgia"/>
      <w:b/>
      <w:bCs/>
      <w:color w:val="666666"/>
      <w:sz w:val="18"/>
      <w:szCs w:val="18"/>
    </w:rPr>
  </w:style>
  <w:style w:type="character" w:customStyle="1" w:styleId="151">
    <w:name w:val="小四 段落 宋体 Char Char Char1"/>
    <w:qFormat/>
    <w:uiPriority w:val="0"/>
    <w:rPr>
      <w:rFonts w:ascii="宋体" w:hAnsi="宋体" w:eastAsia="宋体"/>
      <w:kern w:val="2"/>
      <w:sz w:val="24"/>
      <w:szCs w:val="24"/>
      <w:lang w:val="en-US" w:eastAsia="zh-CN" w:bidi="ar-SA"/>
    </w:rPr>
  </w:style>
  <w:style w:type="character" w:customStyle="1" w:styleId="152">
    <w:name w:val="已访问的超链接1"/>
    <w:qFormat/>
    <w:uiPriority w:val="0"/>
    <w:rPr>
      <w:color w:val="auto"/>
      <w:u w:val="none"/>
    </w:rPr>
  </w:style>
  <w:style w:type="character" w:customStyle="1" w:styleId="153">
    <w:name w:val="小四 段落 宋体 Char Char Char Char Char Char"/>
    <w:qFormat/>
    <w:uiPriority w:val="0"/>
    <w:rPr>
      <w:rFonts w:eastAsia="宋体"/>
      <w:kern w:val="2"/>
      <w:sz w:val="24"/>
      <w:szCs w:val="24"/>
      <w:lang w:val="en-US" w:eastAsia="zh-CN" w:bidi="ar-SA"/>
    </w:rPr>
  </w:style>
  <w:style w:type="character" w:customStyle="1" w:styleId="154">
    <w:name w:val="content_lineheight1"/>
    <w:qFormat/>
    <w:uiPriority w:val="0"/>
  </w:style>
  <w:style w:type="character" w:customStyle="1" w:styleId="155">
    <w:name w:val="concon"/>
    <w:qFormat/>
    <w:uiPriority w:val="0"/>
  </w:style>
  <w:style w:type="character" w:customStyle="1" w:styleId="156">
    <w:name w:val="标题 3 Char"/>
    <w:qFormat/>
    <w:uiPriority w:val="0"/>
    <w:rPr>
      <w:rFonts w:ascii="Times New Roman" w:hAnsi="Times New Roman" w:eastAsia="宋体" w:cs="Times New Roman"/>
      <w:b/>
      <w:bCs/>
      <w:sz w:val="32"/>
      <w:szCs w:val="32"/>
    </w:rPr>
  </w:style>
  <w:style w:type="character" w:customStyle="1" w:styleId="157">
    <w:name w:val="Char Char24"/>
    <w:qFormat/>
    <w:uiPriority w:val="0"/>
    <w:rPr>
      <w:b/>
      <w:bCs/>
      <w:kern w:val="2"/>
      <w:sz w:val="28"/>
      <w:szCs w:val="28"/>
    </w:rPr>
  </w:style>
  <w:style w:type="character" w:customStyle="1" w:styleId="158">
    <w:name w:val="标题 Char2"/>
    <w:qFormat/>
    <w:uiPriority w:val="10"/>
    <w:rPr>
      <w:rFonts w:ascii="Cambria" w:hAnsi="Cambria" w:eastAsia="宋体" w:cs="Times New Roman"/>
      <w:b/>
      <w:bCs/>
      <w:sz w:val="32"/>
      <w:szCs w:val="32"/>
    </w:rPr>
  </w:style>
  <w:style w:type="character" w:customStyle="1" w:styleId="159">
    <w:name w:val="l-open"/>
    <w:qFormat/>
    <w:uiPriority w:val="0"/>
  </w:style>
  <w:style w:type="character" w:customStyle="1" w:styleId="160">
    <w:name w:val="无间隔 Char"/>
    <w:link w:val="161"/>
    <w:qFormat/>
    <w:uiPriority w:val="0"/>
    <w:rPr>
      <w:rFonts w:eastAsia="微软雅黑"/>
      <w:kern w:val="2"/>
      <w:sz w:val="24"/>
      <w:szCs w:val="22"/>
      <w:lang w:val="en-US" w:eastAsia="zh-CN" w:bidi="ar-SA"/>
    </w:rPr>
  </w:style>
  <w:style w:type="paragraph" w:styleId="161">
    <w:name w:val="No Spacing"/>
    <w:link w:val="160"/>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162">
    <w:name w:val="正文文本缩进 2 Char1"/>
    <w:semiHidden/>
    <w:qFormat/>
    <w:uiPriority w:val="99"/>
    <w:rPr>
      <w:rFonts w:ascii="Times New Roman" w:hAnsi="Times New Roman" w:eastAsia="宋体" w:cs="Times New Roman"/>
      <w:szCs w:val="20"/>
    </w:rPr>
  </w:style>
  <w:style w:type="character" w:customStyle="1" w:styleId="163">
    <w:name w:val="Char Char27"/>
    <w:qFormat/>
    <w:uiPriority w:val="0"/>
    <w:rPr>
      <w:b/>
      <w:bCs/>
      <w:kern w:val="44"/>
      <w:sz w:val="44"/>
      <w:szCs w:val="44"/>
    </w:rPr>
  </w:style>
  <w:style w:type="character" w:customStyle="1" w:styleId="164">
    <w:name w:val="2nd level Char"/>
    <w:qFormat/>
    <w:uiPriority w:val="0"/>
    <w:rPr>
      <w:rFonts w:ascii="Arial" w:hAnsi="Arial" w:eastAsia="黑体"/>
      <w:b/>
      <w:bCs/>
      <w:kern w:val="2"/>
      <w:sz w:val="32"/>
      <w:szCs w:val="32"/>
      <w:lang w:val="en-US" w:eastAsia="zh-CN" w:bidi="ar-SA"/>
    </w:rPr>
  </w:style>
  <w:style w:type="character" w:customStyle="1" w:styleId="165">
    <w:name w:val="标准小四 Char"/>
    <w:qFormat/>
    <w:uiPriority w:val="0"/>
    <w:rPr>
      <w:rFonts w:ascii="Arial" w:hAnsi="Arial" w:eastAsia="宋体"/>
      <w:kern w:val="2"/>
      <w:sz w:val="24"/>
      <w:szCs w:val="21"/>
      <w:lang w:val="en-US" w:eastAsia="zh-CN" w:bidi="ar-SA"/>
    </w:rPr>
  </w:style>
  <w:style w:type="character" w:customStyle="1" w:styleId="166">
    <w:name w:val="标题 Char1"/>
    <w:qFormat/>
    <w:uiPriority w:val="10"/>
    <w:rPr>
      <w:rFonts w:ascii="Cambria" w:eastAsia="宋体" w:cs="Times New Roman"/>
      <w:b/>
      <w:bCs/>
      <w:sz w:val="32"/>
      <w:szCs w:val="32"/>
    </w:rPr>
  </w:style>
  <w:style w:type="character" w:customStyle="1" w:styleId="167">
    <w:name w:val="未处理的提及1"/>
    <w:unhideWhenUsed/>
    <w:qFormat/>
    <w:uiPriority w:val="99"/>
    <w:rPr>
      <w:color w:val="605E5C"/>
      <w:shd w:val="clear" w:color="auto" w:fill="E1DFDD"/>
    </w:rPr>
  </w:style>
  <w:style w:type="character" w:customStyle="1" w:styleId="168">
    <w:name w:val="引用 Char1"/>
    <w:qFormat/>
    <w:uiPriority w:val="29"/>
    <w:rPr>
      <w:rFonts w:ascii="Times New Roman" w:hAnsi="Times New Roman" w:eastAsia="宋体" w:cs="Times New Roman"/>
      <w:i/>
      <w:iCs/>
      <w:color w:val="000000"/>
      <w:szCs w:val="20"/>
    </w:rPr>
  </w:style>
  <w:style w:type="character" w:customStyle="1" w:styleId="169">
    <w:name w:val="title_emph1"/>
    <w:qFormat/>
    <w:uiPriority w:val="0"/>
    <w:rPr>
      <w:rFonts w:ascii="Arial" w:cs="Arial"/>
      <w:b/>
      <w:bCs/>
      <w:sz w:val="18"/>
      <w:szCs w:val="18"/>
    </w:rPr>
  </w:style>
  <w:style w:type="character" w:customStyle="1" w:styleId="170">
    <w:name w:val="纯文本 Char1"/>
    <w:qFormat/>
    <w:uiPriority w:val="99"/>
    <w:rPr>
      <w:rFonts w:ascii="宋体" w:hAnsi="Courier New" w:cs="Courier New"/>
      <w:kern w:val="2"/>
      <w:sz w:val="21"/>
      <w:szCs w:val="21"/>
    </w:rPr>
  </w:style>
  <w:style w:type="character" w:customStyle="1" w:styleId="171">
    <w:name w:val="明显引用 Char1"/>
    <w:qFormat/>
    <w:uiPriority w:val="30"/>
    <w:rPr>
      <w:rFonts w:ascii="Times New Roman" w:hAnsi="Times New Roman" w:eastAsia="宋体" w:cs="Times New Roman"/>
      <w:b/>
      <w:bCs/>
      <w:i/>
      <w:iCs/>
      <w:color w:val="4F81BD"/>
      <w:szCs w:val="20"/>
    </w:rPr>
  </w:style>
  <w:style w:type="character" w:customStyle="1" w:styleId="172">
    <w:name w:val="apple-converted-space"/>
    <w:qFormat/>
    <w:uiPriority w:val="0"/>
  </w:style>
  <w:style w:type="character" w:customStyle="1" w:styleId="173">
    <w:name w:val="小四 段落 宋体 Char Char Char Char Char Char Char Char"/>
    <w:qFormat/>
    <w:uiPriority w:val="0"/>
    <w:rPr>
      <w:rFonts w:eastAsia="宋体"/>
      <w:kern w:val="2"/>
      <w:sz w:val="24"/>
      <w:szCs w:val="24"/>
      <w:lang w:val="en-US" w:eastAsia="zh-CN" w:bidi="ar-SA"/>
    </w:rPr>
  </w:style>
  <w:style w:type="character" w:customStyle="1" w:styleId="174">
    <w:name w:val="case31"/>
    <w:qFormat/>
    <w:uiPriority w:val="0"/>
    <w:rPr>
      <w:sz w:val="21"/>
      <w:szCs w:val="21"/>
    </w:rPr>
  </w:style>
  <w:style w:type="character" w:customStyle="1" w:styleId="175">
    <w:name w:val="普通文字1 Char"/>
    <w:qFormat/>
    <w:uiPriority w:val="0"/>
    <w:rPr>
      <w:rFonts w:ascii="宋体" w:eastAsia="宋体"/>
      <w:kern w:val="2"/>
      <w:sz w:val="21"/>
      <w:szCs w:val="21"/>
      <w:lang w:val="en-US" w:eastAsia="zh-CN" w:bidi="ar-SA"/>
    </w:rPr>
  </w:style>
  <w:style w:type="character" w:customStyle="1" w:styleId="176">
    <w:name w:val="页脚 Char1"/>
    <w:semiHidden/>
    <w:qFormat/>
    <w:uiPriority w:val="0"/>
    <w:rPr>
      <w:rFonts w:ascii="Times New Roman" w:hAnsi="Times New Roman" w:eastAsia="宋体" w:cs="Times New Roman"/>
      <w:sz w:val="18"/>
      <w:szCs w:val="18"/>
    </w:rPr>
  </w:style>
  <w:style w:type="character" w:customStyle="1" w:styleId="177">
    <w:name w:val="正文文本缩进 Char1"/>
    <w:semiHidden/>
    <w:qFormat/>
    <w:uiPriority w:val="99"/>
    <w:rPr>
      <w:rFonts w:ascii="Times New Roman" w:hAnsi="Times New Roman" w:eastAsia="宋体" w:cs="Times New Roman"/>
      <w:szCs w:val="20"/>
    </w:rPr>
  </w:style>
  <w:style w:type="character" w:customStyle="1" w:styleId="178">
    <w:name w:val="Heading Left Char"/>
    <w:link w:val="179"/>
    <w:qFormat/>
    <w:uiPriority w:val="0"/>
    <w:rPr>
      <w:rFonts w:ascii="Arial" w:hAnsi="Arial"/>
      <w:b/>
      <w:caps/>
      <w:sz w:val="24"/>
      <w:lang w:eastAsia="en-US"/>
    </w:rPr>
  </w:style>
  <w:style w:type="paragraph" w:customStyle="1" w:styleId="179">
    <w:name w:val="Heading Left"/>
    <w:basedOn w:val="1"/>
    <w:link w:val="178"/>
    <w:qFormat/>
    <w:uiPriority w:val="0"/>
    <w:pPr>
      <w:widowControl/>
      <w:tabs>
        <w:tab w:val="center" w:pos="4820"/>
        <w:tab w:val="right" w:pos="9639"/>
      </w:tabs>
      <w:spacing w:before="120" w:after="120"/>
      <w:jc w:val="left"/>
    </w:pPr>
    <w:rPr>
      <w:rFonts w:ascii="Arial" w:hAnsi="Arial"/>
      <w:b/>
      <w:caps/>
      <w:kern w:val="0"/>
      <w:sz w:val="24"/>
      <w:lang w:eastAsia="en-US"/>
    </w:rPr>
  </w:style>
  <w:style w:type="character" w:customStyle="1" w:styleId="180">
    <w:name w:val="Char Char25"/>
    <w:qFormat/>
    <w:uiPriority w:val="0"/>
    <w:rPr>
      <w:rFonts w:ascii="Arial" w:hAnsi="Arial" w:eastAsia="黑体"/>
      <w:b/>
      <w:kern w:val="2"/>
      <w:sz w:val="28"/>
    </w:rPr>
  </w:style>
  <w:style w:type="character" w:customStyle="1" w:styleId="181">
    <w:name w:val="样式 非加粗"/>
    <w:qFormat/>
    <w:uiPriority w:val="0"/>
    <w:rPr>
      <w:rFonts w:eastAsia="宋体"/>
      <w:sz w:val="28"/>
    </w:rPr>
  </w:style>
  <w:style w:type="character" w:customStyle="1" w:styleId="182">
    <w:name w:val="Char Char20"/>
    <w:qFormat/>
    <w:uiPriority w:val="0"/>
    <w:rPr>
      <w:rFonts w:ascii="Arial" w:hAnsi="Arial" w:eastAsia="黑体"/>
      <w:kern w:val="2"/>
      <w:sz w:val="21"/>
      <w:szCs w:val="21"/>
    </w:rPr>
  </w:style>
  <w:style w:type="character" w:customStyle="1" w:styleId="183">
    <w:name w:val="Book Title"/>
    <w:qFormat/>
    <w:uiPriority w:val="0"/>
    <w:rPr>
      <w:i/>
      <w:iCs/>
      <w:smallCaps/>
      <w:spacing w:val="5"/>
    </w:rPr>
  </w:style>
  <w:style w:type="character" w:customStyle="1" w:styleId="184">
    <w:name w:val="纯文本 Char2"/>
    <w:semiHidden/>
    <w:qFormat/>
    <w:uiPriority w:val="99"/>
    <w:rPr>
      <w:rFonts w:ascii="宋体" w:hAnsi="Courier New" w:eastAsia="宋体" w:cs="Courier New"/>
      <w:szCs w:val="21"/>
    </w:rPr>
  </w:style>
  <w:style w:type="character" w:customStyle="1" w:styleId="185">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86">
    <w:name w:val="HTML 预设格式 Char1"/>
    <w:semiHidden/>
    <w:qFormat/>
    <w:uiPriority w:val="99"/>
    <w:rPr>
      <w:rFonts w:ascii="Courier New" w:hAnsi="Courier New" w:eastAsia="宋体" w:cs="Courier New"/>
      <w:sz w:val="20"/>
      <w:szCs w:val="20"/>
    </w:rPr>
  </w:style>
  <w:style w:type="character" w:customStyle="1" w:styleId="187">
    <w:name w:val="Char Char17"/>
    <w:qFormat/>
    <w:uiPriority w:val="0"/>
    <w:rPr>
      <w:rFonts w:ascii="宋体" w:hAnsi="Courier New"/>
      <w:kern w:val="2"/>
      <w:sz w:val="21"/>
      <w:szCs w:val="21"/>
    </w:rPr>
  </w:style>
  <w:style w:type="character" w:customStyle="1" w:styleId="188">
    <w:name w:val="l-selected"/>
    <w:qFormat/>
    <w:uiPriority w:val="0"/>
    <w:rPr>
      <w:color w:val="355686"/>
      <w:bdr w:val="single" w:color="DAB364" w:sz="6" w:space="0"/>
      <w:shd w:val="clear" w:color="auto" w:fill="FFFFFF"/>
    </w:rPr>
  </w:style>
  <w:style w:type="character" w:customStyle="1" w:styleId="189">
    <w:name w:val="标题 3 Char Char"/>
    <w:qFormat/>
    <w:uiPriority w:val="0"/>
    <w:rPr>
      <w:rFonts w:eastAsia="仿宋_GB2312"/>
      <w:b/>
      <w:bCs/>
      <w:kern w:val="2"/>
      <w:sz w:val="28"/>
      <w:szCs w:val="32"/>
      <w:lang w:val="en-US" w:eastAsia="zh-CN" w:bidi="ar-SA"/>
    </w:rPr>
  </w:style>
  <w:style w:type="character" w:customStyle="1" w:styleId="190">
    <w:name w:val="小四 段落 宋体 Char Char Char Char1"/>
    <w:qFormat/>
    <w:uiPriority w:val="0"/>
    <w:rPr>
      <w:rFonts w:eastAsia="宋体"/>
      <w:kern w:val="2"/>
      <w:sz w:val="24"/>
      <w:szCs w:val="24"/>
      <w:lang w:val="en-US" w:eastAsia="zh-CN" w:bidi="ar-SA"/>
    </w:rPr>
  </w:style>
  <w:style w:type="character" w:customStyle="1" w:styleId="191">
    <w:name w:val="Subtle Reference"/>
    <w:qFormat/>
    <w:uiPriority w:val="0"/>
    <w:rPr>
      <w:smallCaps/>
    </w:rPr>
  </w:style>
  <w:style w:type="character" w:customStyle="1" w:styleId="192">
    <w:name w:val="正文 + 宋体 Char"/>
    <w:qFormat/>
    <w:uiPriority w:val="0"/>
    <w:rPr>
      <w:rFonts w:eastAsia="宋体"/>
      <w:kern w:val="2"/>
      <w:sz w:val="21"/>
      <w:szCs w:val="24"/>
      <w:lang w:val="en-US" w:eastAsia="zh-CN" w:bidi="ar-SA"/>
    </w:rPr>
  </w:style>
  <w:style w:type="character" w:customStyle="1" w:styleId="193">
    <w:name w:val="Char Char23"/>
    <w:qFormat/>
    <w:uiPriority w:val="0"/>
    <w:rPr>
      <w:rFonts w:ascii="Arial" w:hAnsi="Arial" w:eastAsia="黑体"/>
      <w:b/>
      <w:bCs/>
      <w:kern w:val="2"/>
      <w:sz w:val="24"/>
      <w:szCs w:val="24"/>
    </w:rPr>
  </w:style>
  <w:style w:type="character" w:customStyle="1" w:styleId="194">
    <w:name w:val="Char Char26"/>
    <w:qFormat/>
    <w:uiPriority w:val="0"/>
    <w:rPr>
      <w:b/>
      <w:bCs/>
      <w:kern w:val="2"/>
      <w:sz w:val="32"/>
      <w:szCs w:val="32"/>
    </w:rPr>
  </w:style>
  <w:style w:type="character" w:customStyle="1" w:styleId="195">
    <w:name w:val="特点 Char1"/>
    <w:qFormat/>
    <w:uiPriority w:val="0"/>
    <w:rPr>
      <w:rFonts w:eastAsia="宋体"/>
      <w:kern w:val="2"/>
      <w:sz w:val="21"/>
      <w:lang w:val="en-US" w:eastAsia="zh-CN" w:bidi="ar-SA"/>
    </w:rPr>
  </w:style>
  <w:style w:type="character" w:customStyle="1" w:styleId="196">
    <w:name w:val="style13"/>
    <w:qFormat/>
    <w:uiPriority w:val="0"/>
    <w:rPr>
      <w:sz w:val="18"/>
      <w:szCs w:val="18"/>
    </w:rPr>
  </w:style>
  <w:style w:type="character" w:customStyle="1" w:styleId="197">
    <w:name w:val="h Char Char"/>
    <w:qFormat/>
    <w:uiPriority w:val="0"/>
    <w:rPr>
      <w:rFonts w:eastAsia="宋体"/>
      <w:kern w:val="2"/>
      <w:sz w:val="18"/>
      <w:szCs w:val="18"/>
      <w:lang w:val="en-US" w:eastAsia="zh-CN" w:bidi="ar-SA"/>
    </w:rPr>
  </w:style>
  <w:style w:type="character" w:customStyle="1" w:styleId="198">
    <w:name w:val="明显引用 Char"/>
    <w:link w:val="199"/>
    <w:qFormat/>
    <w:uiPriority w:val="0"/>
    <w:rPr>
      <w:rFonts w:ascii="Calibri" w:hAnsi="Calibri" w:eastAsia="宋体"/>
      <w:b/>
      <w:bCs/>
      <w:i/>
      <w:iCs/>
      <w:sz w:val="22"/>
      <w:lang w:eastAsia="en-US" w:bidi="en-US"/>
    </w:rPr>
  </w:style>
  <w:style w:type="paragraph" w:styleId="199">
    <w:name w:val="Intense Quote"/>
    <w:basedOn w:val="1"/>
    <w:next w:val="1"/>
    <w:link w:val="198"/>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200">
    <w:name w:val="正文缩进 Char1"/>
    <w:link w:val="201"/>
    <w:qFormat/>
    <w:uiPriority w:val="0"/>
    <w:rPr>
      <w:rFonts w:eastAsia="宋体"/>
    </w:rPr>
  </w:style>
  <w:style w:type="paragraph" w:customStyle="1" w:styleId="201">
    <w:name w:val="正文缩进1"/>
    <w:basedOn w:val="1"/>
    <w:link w:val="200"/>
    <w:qFormat/>
    <w:uiPriority w:val="0"/>
    <w:pPr>
      <w:ind w:firstLine="420"/>
    </w:pPr>
    <w:rPr>
      <w:kern w:val="0"/>
      <w:sz w:val="20"/>
    </w:rPr>
  </w:style>
  <w:style w:type="character" w:customStyle="1" w:styleId="202">
    <w:name w:val="批注文字 Char"/>
    <w:qFormat/>
    <w:uiPriority w:val="0"/>
    <w:rPr>
      <w:rFonts w:eastAsia="宋体"/>
      <w:kern w:val="2"/>
      <w:sz w:val="21"/>
      <w:lang w:val="en-US" w:eastAsia="zh-CN" w:bidi="ar-SA"/>
    </w:rPr>
  </w:style>
  <w:style w:type="character" w:customStyle="1" w:styleId="203">
    <w:name w:val="l-over"/>
    <w:qFormat/>
    <w:uiPriority w:val="0"/>
    <w:rPr>
      <w:bdr w:val="single" w:color="DAB364" w:sz="6" w:space="0"/>
    </w:rPr>
  </w:style>
  <w:style w:type="character" w:customStyle="1" w:styleId="204">
    <w:name w:val="引用 Char"/>
    <w:link w:val="205"/>
    <w:qFormat/>
    <w:uiPriority w:val="0"/>
    <w:rPr>
      <w:rFonts w:ascii="Calibri" w:hAnsi="Calibri" w:eastAsia="宋体"/>
      <w:i/>
      <w:iCs/>
      <w:sz w:val="22"/>
      <w:lang w:eastAsia="en-US" w:bidi="en-US"/>
    </w:rPr>
  </w:style>
  <w:style w:type="paragraph" w:styleId="205">
    <w:name w:val="Quote"/>
    <w:basedOn w:val="1"/>
    <w:next w:val="1"/>
    <w:link w:val="204"/>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206">
    <w:name w:val="标准文本 Char"/>
    <w:qFormat/>
    <w:uiPriority w:val="0"/>
    <w:rPr>
      <w:rFonts w:eastAsia="宋体" w:cs="宋体"/>
      <w:kern w:val="2"/>
      <w:sz w:val="24"/>
      <w:szCs w:val="24"/>
      <w:lang w:val="en-US" w:eastAsia="zh-CN" w:bidi="ar-SA"/>
    </w:rPr>
  </w:style>
  <w:style w:type="character" w:customStyle="1" w:styleId="207">
    <w:name w:val="标准文本 Char Char"/>
    <w:qFormat/>
    <w:uiPriority w:val="0"/>
    <w:rPr>
      <w:rFonts w:eastAsia="宋体" w:cs="宋体"/>
      <w:kern w:val="2"/>
      <w:sz w:val="24"/>
      <w:szCs w:val="24"/>
      <w:lang w:val="en-US" w:eastAsia="zh-CN" w:bidi="ar-SA"/>
    </w:rPr>
  </w:style>
  <w:style w:type="character" w:customStyle="1" w:styleId="208">
    <w:name w:val="Char Char30"/>
    <w:qFormat/>
    <w:uiPriority w:val="0"/>
    <w:rPr>
      <w:rFonts w:ascii="宋体" w:hAnsi="宋体" w:eastAsia="宋体"/>
      <w:b/>
      <w:kern w:val="2"/>
      <w:sz w:val="21"/>
      <w:szCs w:val="21"/>
      <w:lang w:val="en-US" w:eastAsia="zh-CN" w:bidi="ar-SA"/>
    </w:rPr>
  </w:style>
  <w:style w:type="character" w:customStyle="1" w:styleId="209">
    <w:name w:val="style131"/>
    <w:qFormat/>
    <w:uiPriority w:val="0"/>
    <w:rPr>
      <w:rFonts w:cs="Times New Roman"/>
      <w:sz w:val="18"/>
      <w:szCs w:val="18"/>
    </w:rPr>
  </w:style>
  <w:style w:type="character" w:customStyle="1" w:styleId="210">
    <w:name w:val="表格抬头 Char"/>
    <w:link w:val="211"/>
    <w:qFormat/>
    <w:locked/>
    <w:uiPriority w:val="0"/>
    <w:rPr>
      <w:rFonts w:ascii="黑体" w:eastAsia="黑体"/>
      <w:b/>
    </w:rPr>
  </w:style>
  <w:style w:type="paragraph" w:customStyle="1" w:styleId="211">
    <w:name w:val="表格抬头"/>
    <w:basedOn w:val="1"/>
    <w:link w:val="210"/>
    <w:qFormat/>
    <w:uiPriority w:val="0"/>
    <w:pPr>
      <w:jc w:val="center"/>
    </w:pPr>
    <w:rPr>
      <w:rFonts w:ascii="黑体" w:eastAsia="黑体"/>
      <w:b/>
      <w:kern w:val="0"/>
      <w:sz w:val="20"/>
    </w:rPr>
  </w:style>
  <w:style w:type="character" w:customStyle="1" w:styleId="212">
    <w:name w:val="Title1 Char"/>
    <w:qFormat/>
    <w:uiPriority w:val="0"/>
    <w:rPr>
      <w:rFonts w:eastAsia="宋体"/>
      <w:b/>
      <w:bCs/>
      <w:kern w:val="44"/>
      <w:sz w:val="44"/>
      <w:szCs w:val="44"/>
      <w:lang w:val="en-US" w:eastAsia="zh-CN" w:bidi="ar-SA"/>
    </w:rPr>
  </w:style>
  <w:style w:type="character" w:customStyle="1" w:styleId="213">
    <w:name w:val="无"/>
    <w:qFormat/>
    <w:uiPriority w:val="0"/>
  </w:style>
  <w:style w:type="character" w:customStyle="1" w:styleId="214">
    <w:name w:val="纯文本 Char Char Char"/>
    <w:qFormat/>
    <w:uiPriority w:val="0"/>
    <w:rPr>
      <w:rFonts w:ascii="宋体" w:hAnsi="Courier New" w:eastAsia="宋体"/>
      <w:kern w:val="2"/>
      <w:sz w:val="21"/>
      <w:szCs w:val="21"/>
      <w:lang w:val="en-US" w:eastAsia="zh-CN" w:bidi="ar-SA"/>
    </w:rPr>
  </w:style>
  <w:style w:type="character" w:customStyle="1" w:styleId="215">
    <w:name w:val="标准小四 Char Char"/>
    <w:qFormat/>
    <w:uiPriority w:val="0"/>
    <w:rPr>
      <w:rFonts w:ascii="Arial" w:hAnsi="Arial" w:eastAsia="宋体"/>
      <w:kern w:val="2"/>
      <w:sz w:val="24"/>
      <w:szCs w:val="21"/>
      <w:lang w:val="en-US" w:eastAsia="zh-CN" w:bidi="ar-SA"/>
    </w:rPr>
  </w:style>
  <w:style w:type="character" w:customStyle="1" w:styleId="216">
    <w:name w:val="小四 段落 宋体 Char1"/>
    <w:qFormat/>
    <w:uiPriority w:val="0"/>
    <w:rPr>
      <w:rFonts w:eastAsia="宋体"/>
      <w:kern w:val="2"/>
      <w:sz w:val="24"/>
      <w:szCs w:val="24"/>
      <w:lang w:val="en-US" w:eastAsia="zh-CN" w:bidi="ar-SA"/>
    </w:rPr>
  </w:style>
  <w:style w:type="character" w:customStyle="1" w:styleId="217">
    <w:name w:val="Intense Emphasis"/>
    <w:qFormat/>
    <w:uiPriority w:val="0"/>
    <w:rPr>
      <w:b/>
      <w:bCs/>
    </w:rPr>
  </w:style>
  <w:style w:type="character" w:customStyle="1" w:styleId="218">
    <w:name w:val="Char Char29"/>
    <w:qFormat/>
    <w:uiPriority w:val="0"/>
    <w:rPr>
      <w:rFonts w:ascii="Times New Roman" w:hAnsi="Times New Roman" w:eastAsia="宋体" w:cs="Times New Roman"/>
      <w:b/>
      <w:bCs/>
      <w:kern w:val="44"/>
      <w:sz w:val="44"/>
      <w:szCs w:val="44"/>
    </w:rPr>
  </w:style>
  <w:style w:type="character" w:customStyle="1" w:styleId="219">
    <w:name w:val="样式 宋体 小四"/>
    <w:qFormat/>
    <w:uiPriority w:val="0"/>
    <w:rPr>
      <w:rFonts w:ascii="宋体" w:hAnsi="宋体"/>
      <w:sz w:val="24"/>
    </w:rPr>
  </w:style>
  <w:style w:type="character" w:customStyle="1" w:styleId="220">
    <w:name w:val="param-value"/>
    <w:qFormat/>
    <w:uiPriority w:val="0"/>
  </w:style>
  <w:style w:type="character" w:customStyle="1" w:styleId="221">
    <w:name w:val="3zw"/>
    <w:qFormat/>
    <w:uiPriority w:val="0"/>
  </w:style>
  <w:style w:type="paragraph" w:customStyle="1" w:styleId="222">
    <w:name w:val="首行缩进"/>
    <w:basedOn w:val="1"/>
    <w:qFormat/>
    <w:uiPriority w:val="0"/>
    <w:pPr>
      <w:ind w:firstLine="480" w:firstLineChars="200"/>
    </w:pPr>
    <w:rPr>
      <w:kern w:val="0"/>
      <w:sz w:val="20"/>
      <w:lang w:val="zh-CN"/>
    </w:rPr>
  </w:style>
  <w:style w:type="paragraph" w:customStyle="1" w:styleId="223">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24">
    <w:name w:val="TOC Heading"/>
    <w:basedOn w:val="3"/>
    <w:next w:val="1"/>
    <w:qFormat/>
    <w:uiPriority w:val="0"/>
    <w:pPr>
      <w:keepLines/>
      <w:widowControl/>
      <w:tabs>
        <w:tab w:val="clear" w:pos="1440"/>
        <w:tab w:val="clear" w:pos="5670"/>
      </w:tabs>
      <w:spacing w:before="480" w:beforeLines="0" w:afterLines="0" w:line="276" w:lineRule="auto"/>
      <w:ind w:firstLine="0" w:firstLineChars="0"/>
      <w:jc w:val="left"/>
      <w:outlineLvl w:val="9"/>
    </w:pPr>
    <w:rPr>
      <w:rFonts w:ascii="Cambria" w:hAnsi="Cambria" w:eastAsia="宋体"/>
      <w:bCs/>
      <w:color w:val="365F91"/>
      <w:kern w:val="0"/>
      <w:sz w:val="28"/>
    </w:rPr>
  </w:style>
  <w:style w:type="paragraph" w:customStyle="1" w:styleId="225">
    <w:name w:val="☆ 正文"/>
    <w:basedOn w:val="1"/>
    <w:qFormat/>
    <w:uiPriority w:val="0"/>
    <w:pPr>
      <w:autoSpaceDE w:val="0"/>
      <w:autoSpaceDN w:val="0"/>
    </w:pPr>
    <w:rPr>
      <w:rFonts w:ascii="Calibri" w:hAnsi="Calibri"/>
      <w:szCs w:val="22"/>
    </w:rPr>
  </w:style>
  <w:style w:type="paragraph" w:customStyle="1" w:styleId="226">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7">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228">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2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230">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2">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33">
    <w:name w:val="Char Char Char Char Char Char Char"/>
    <w:basedOn w:val="1"/>
    <w:qFormat/>
    <w:uiPriority w:val="0"/>
    <w:rPr>
      <w:rFonts w:ascii="Tahoma" w:hAnsi="Tahoma"/>
      <w:sz w:val="24"/>
    </w:rPr>
  </w:style>
  <w:style w:type="paragraph" w:customStyle="1" w:styleId="234">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35">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6">
    <w:name w:val="Char Char1"/>
    <w:basedOn w:val="1"/>
    <w:qFormat/>
    <w:uiPriority w:val="0"/>
    <w:rPr>
      <w:rFonts w:ascii="Tahoma" w:hAnsi="Tahoma" w:cs="Tahoma"/>
      <w:sz w:val="24"/>
    </w:rPr>
  </w:style>
  <w:style w:type="paragraph" w:customStyle="1" w:styleId="237">
    <w:name w:val="Char Char"/>
    <w:basedOn w:val="1"/>
    <w:qFormat/>
    <w:uiPriority w:val="0"/>
    <w:rPr>
      <w:rFonts w:ascii="Tahoma" w:hAnsi="Tahoma"/>
      <w:sz w:val="24"/>
    </w:rPr>
  </w:style>
  <w:style w:type="paragraph" w:customStyle="1" w:styleId="238">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39">
    <w:name w:val="正文表标题"/>
    <w:next w:val="240"/>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1">
    <w:name w:val="正文 + 宋体"/>
    <w:basedOn w:val="1"/>
    <w:qFormat/>
    <w:uiPriority w:val="0"/>
    <w:pPr>
      <w:spacing w:line="360" w:lineRule="auto"/>
      <w:ind w:firstLine="420" w:firstLineChars="200"/>
    </w:pPr>
    <w:rPr>
      <w:szCs w:val="24"/>
    </w:rPr>
  </w:style>
  <w:style w:type="paragraph" w:customStyle="1" w:styleId="242">
    <w:name w:val="Char1 Char Char Char"/>
    <w:basedOn w:val="1"/>
    <w:qFormat/>
    <w:uiPriority w:val="0"/>
    <w:rPr>
      <w:rFonts w:ascii="Tahoma" w:hAnsi="Tahoma" w:cs="Tahoma"/>
      <w:sz w:val="24"/>
    </w:rPr>
  </w:style>
  <w:style w:type="paragraph" w:customStyle="1" w:styleId="243">
    <w:name w:val="小四 段落 宋体 Char"/>
    <w:basedOn w:val="19"/>
    <w:qFormat/>
    <w:uiPriority w:val="0"/>
    <w:pPr>
      <w:tabs>
        <w:tab w:val="clear" w:pos="2952"/>
      </w:tabs>
      <w:ind w:left="0" w:right="-33" w:firstLine="600" w:firstLineChars="200"/>
      <w:jc w:val="left"/>
    </w:pPr>
    <w:rPr>
      <w:rFonts w:ascii="仿宋_GB2312" w:eastAsia="仿宋_GB2312"/>
      <w:sz w:val="30"/>
      <w:szCs w:val="30"/>
    </w:rPr>
  </w:style>
  <w:style w:type="paragraph" w:customStyle="1" w:styleId="244">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45">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24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7">
    <w:name w:val="Char Char Char Char Char Char Char Char Char"/>
    <w:basedOn w:val="1"/>
    <w:qFormat/>
    <w:uiPriority w:val="0"/>
    <w:pPr>
      <w:tabs>
        <w:tab w:val="left" w:pos="360"/>
      </w:tabs>
      <w:ind w:left="200" w:hanging="200" w:hangingChars="200"/>
    </w:pPr>
    <w:rPr>
      <w:sz w:val="24"/>
      <w:szCs w:val="24"/>
    </w:rPr>
  </w:style>
  <w:style w:type="paragraph" w:customStyle="1" w:styleId="248">
    <w:name w:val="_Style 2"/>
    <w:basedOn w:val="1"/>
    <w:qFormat/>
    <w:uiPriority w:val="34"/>
    <w:pPr>
      <w:ind w:firstLine="420" w:firstLineChars="200"/>
    </w:pPr>
    <w:rPr>
      <w:rFonts w:ascii="Calibri" w:hAnsi="Calibri"/>
      <w:szCs w:val="22"/>
    </w:rPr>
  </w:style>
  <w:style w:type="paragraph" w:customStyle="1" w:styleId="24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50">
    <w:name w:val="font13"/>
    <w:basedOn w:val="1"/>
    <w:qFormat/>
    <w:uiPriority w:val="0"/>
    <w:pPr>
      <w:widowControl/>
      <w:spacing w:before="100" w:beforeAutospacing="1" w:after="100" w:afterAutospacing="1"/>
      <w:jc w:val="left"/>
    </w:pPr>
    <w:rPr>
      <w:i/>
      <w:iCs/>
      <w:kern w:val="0"/>
      <w:sz w:val="36"/>
      <w:szCs w:val="36"/>
    </w:rPr>
  </w:style>
  <w:style w:type="paragraph" w:customStyle="1" w:styleId="251">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5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53">
    <w:name w:val="正文 首行缩进:  2 字符 Char"/>
    <w:basedOn w:val="1"/>
    <w:qFormat/>
    <w:uiPriority w:val="0"/>
    <w:pPr>
      <w:spacing w:line="360" w:lineRule="auto"/>
      <w:ind w:firstLine="480"/>
    </w:pPr>
    <w:rPr>
      <w:rFonts w:cs="宋体"/>
      <w:sz w:val="24"/>
    </w:rPr>
  </w:style>
  <w:style w:type="paragraph" w:customStyle="1" w:styleId="254">
    <w:name w:val="正文 居中"/>
    <w:basedOn w:val="1"/>
    <w:qFormat/>
    <w:uiPriority w:val="0"/>
    <w:pPr>
      <w:spacing w:line="360" w:lineRule="auto"/>
      <w:jc w:val="center"/>
    </w:pPr>
    <w:rPr>
      <w:sz w:val="24"/>
    </w:rPr>
  </w:style>
  <w:style w:type="paragraph" w:customStyle="1" w:styleId="255">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56">
    <w:name w:val="Char Char1 Char Char Char Char Char Char Char"/>
    <w:basedOn w:val="1"/>
    <w:qFormat/>
    <w:uiPriority w:val="0"/>
    <w:rPr>
      <w:rFonts w:ascii="Tahoma" w:hAnsi="Tahoma" w:cs="Tahoma"/>
      <w:sz w:val="24"/>
    </w:rPr>
  </w:style>
  <w:style w:type="paragraph" w:customStyle="1" w:styleId="257">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8">
    <w:name w:val="表头_5"/>
    <w:basedOn w:val="1"/>
    <w:qFormat/>
    <w:uiPriority w:val="0"/>
    <w:pPr>
      <w:adjustRightInd w:val="0"/>
      <w:spacing w:line="360" w:lineRule="auto"/>
      <w:textAlignment w:val="baseline"/>
    </w:pPr>
    <w:rPr>
      <w:b/>
      <w:bCs/>
      <w:sz w:val="28"/>
      <w:szCs w:val="21"/>
    </w:rPr>
  </w:style>
  <w:style w:type="paragraph" w:customStyle="1" w:styleId="259">
    <w:name w:val="Char Char Char Char Char"/>
    <w:basedOn w:val="1"/>
    <w:qFormat/>
    <w:uiPriority w:val="0"/>
    <w:rPr>
      <w:rFonts w:ascii="Tahoma" w:hAnsi="Tahoma"/>
      <w:sz w:val="24"/>
    </w:rPr>
  </w:style>
  <w:style w:type="paragraph" w:customStyle="1" w:styleId="260">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61">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26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63">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6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5">
    <w:name w:val="列表内容"/>
    <w:basedOn w:val="1"/>
    <w:next w:val="1"/>
    <w:qFormat/>
    <w:uiPriority w:val="0"/>
    <w:pPr>
      <w:widowControl/>
      <w:tabs>
        <w:tab w:val="left" w:pos="840"/>
      </w:tabs>
      <w:ind w:left="840" w:hanging="420"/>
      <w:jc w:val="left"/>
    </w:pPr>
    <w:rPr>
      <w:kern w:val="0"/>
      <w:sz w:val="18"/>
      <w:szCs w:val="24"/>
    </w:rPr>
  </w:style>
  <w:style w:type="paragraph" w:customStyle="1" w:styleId="266">
    <w:name w:val="Char"/>
    <w:basedOn w:val="1"/>
    <w:qFormat/>
    <w:uiPriority w:val="0"/>
    <w:rPr>
      <w:rFonts w:ascii="Tahoma" w:hAnsi="Tahoma" w:cs="仿宋_GB2312"/>
      <w:sz w:val="24"/>
      <w:szCs w:val="28"/>
    </w:rPr>
  </w:style>
  <w:style w:type="paragraph" w:customStyle="1" w:styleId="267">
    <w:name w:val="Char Char Char Char Char Char Char Char"/>
    <w:basedOn w:val="1"/>
    <w:qFormat/>
    <w:uiPriority w:val="0"/>
    <w:rPr>
      <w:rFonts w:ascii="Tahoma" w:hAnsi="Tahoma"/>
      <w:sz w:val="24"/>
    </w:rPr>
  </w:style>
  <w:style w:type="paragraph" w:customStyle="1" w:styleId="268">
    <w:name w:val="Char Char Char Char Char Char"/>
    <w:basedOn w:val="1"/>
    <w:qFormat/>
    <w:uiPriority w:val="0"/>
    <w:rPr>
      <w:rFonts w:ascii="Tahoma" w:hAnsi="Tahoma" w:cs="Tahoma"/>
      <w:sz w:val="24"/>
    </w:rPr>
  </w:style>
  <w:style w:type="paragraph" w:customStyle="1" w:styleId="269">
    <w:name w:val="论文正文"/>
    <w:basedOn w:val="39"/>
    <w:qFormat/>
    <w:uiPriority w:val="0"/>
    <w:pPr>
      <w:spacing w:line="360" w:lineRule="auto"/>
      <w:ind w:left="0" w:firstLine="200" w:firstLineChars="200"/>
      <w:jc w:val="left"/>
    </w:pPr>
    <w:rPr>
      <w:rFonts w:ascii="Times New Roman" w:hAnsi="Times New Roman"/>
      <w:sz w:val="28"/>
      <w:szCs w:val="24"/>
    </w:rPr>
  </w:style>
  <w:style w:type="paragraph" w:customStyle="1" w:styleId="27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71">
    <w:name w:val="样式"/>
    <w:basedOn w:val="1"/>
    <w:qFormat/>
    <w:uiPriority w:val="0"/>
    <w:pPr>
      <w:autoSpaceDE w:val="0"/>
      <w:autoSpaceDN w:val="0"/>
      <w:snapToGrid w:val="0"/>
      <w:spacing w:before="120" w:after="120" w:line="360" w:lineRule="auto"/>
    </w:pPr>
    <w:rPr>
      <w:rFonts w:ascii="宋体"/>
      <w:sz w:val="24"/>
    </w:rPr>
  </w:style>
  <w:style w:type="paragraph" w:customStyle="1" w:styleId="272">
    <w:name w:val="列出段落3"/>
    <w:basedOn w:val="1"/>
    <w:qFormat/>
    <w:uiPriority w:val="0"/>
    <w:pPr>
      <w:widowControl/>
      <w:ind w:left="720"/>
      <w:contextualSpacing/>
      <w:jc w:val="left"/>
    </w:pPr>
    <w:rPr>
      <w:rFonts w:ascii="Arial" w:hAnsi="Arial" w:eastAsia="黑体"/>
      <w:kern w:val="0"/>
      <w:sz w:val="24"/>
      <w:szCs w:val="24"/>
      <w:lang w:eastAsia="en-US"/>
    </w:rPr>
  </w:style>
  <w:style w:type="paragraph" w:customStyle="1" w:styleId="273">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74">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75">
    <w:name w:val="文档正文"/>
    <w:basedOn w:val="1"/>
    <w:qFormat/>
    <w:uiPriority w:val="0"/>
    <w:pPr>
      <w:spacing w:line="360" w:lineRule="auto"/>
    </w:pPr>
    <w:rPr>
      <w:rFonts w:ascii="宋体" w:hAnsi="宋体"/>
      <w:b/>
      <w:bCs/>
      <w:szCs w:val="24"/>
    </w:rPr>
  </w:style>
  <w:style w:type="paragraph" w:customStyle="1" w:styleId="276">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7">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8">
    <w:name w:val="条1"/>
    <w:basedOn w:val="1"/>
    <w:qFormat/>
    <w:uiPriority w:val="0"/>
    <w:pPr>
      <w:tabs>
        <w:tab w:val="left" w:pos="780"/>
      </w:tabs>
      <w:spacing w:before="156" w:line="360" w:lineRule="auto"/>
      <w:ind w:left="780" w:hanging="360"/>
    </w:pPr>
    <w:rPr>
      <w:rFonts w:eastAsia="黑体"/>
      <w:sz w:val="24"/>
    </w:rPr>
  </w:style>
  <w:style w:type="paragraph" w:customStyle="1" w:styleId="279">
    <w:name w:val="Char Char1 Char Char Char Char"/>
    <w:basedOn w:val="24"/>
    <w:qFormat/>
    <w:uiPriority w:val="0"/>
    <w:pPr>
      <w:adjustRightInd w:val="0"/>
      <w:spacing w:line="436" w:lineRule="exact"/>
      <w:ind w:left="357"/>
      <w:jc w:val="left"/>
      <w:outlineLvl w:val="3"/>
    </w:pPr>
    <w:rPr>
      <w:rFonts w:ascii="Tahoma" w:hAnsi="Tahoma" w:cs="Tahoma"/>
      <w:b/>
      <w:sz w:val="24"/>
      <w:szCs w:val="24"/>
    </w:rPr>
  </w:style>
  <w:style w:type="paragraph" w:customStyle="1" w:styleId="280">
    <w:name w:val="小四 段落 宋体"/>
    <w:basedOn w:val="19"/>
    <w:qFormat/>
    <w:uiPriority w:val="0"/>
    <w:pPr>
      <w:tabs>
        <w:tab w:val="clear" w:pos="2952"/>
      </w:tabs>
      <w:spacing w:line="360" w:lineRule="auto"/>
      <w:ind w:left="113" w:right="113" w:firstLine="425"/>
      <w:jc w:val="left"/>
    </w:pPr>
    <w:rPr>
      <w:sz w:val="24"/>
    </w:rPr>
  </w:style>
  <w:style w:type="paragraph" w:customStyle="1" w:styleId="281">
    <w:name w:val="方案正文"/>
    <w:basedOn w:val="1"/>
    <w:link w:val="568"/>
    <w:qFormat/>
    <w:uiPriority w:val="0"/>
    <w:pPr>
      <w:spacing w:before="156" w:line="360" w:lineRule="auto"/>
      <w:ind w:firstLine="359" w:firstLineChars="171"/>
      <w:jc w:val="left"/>
    </w:pPr>
    <w:rPr>
      <w:rFonts w:ascii="Arial" w:hAnsi="Arial" w:cs="宋体"/>
      <w:sz w:val="24"/>
      <w:szCs w:val="21"/>
    </w:rPr>
  </w:style>
  <w:style w:type="paragraph" w:customStyle="1" w:styleId="2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83">
    <w:name w:val="标题1，章节第一层"/>
    <w:basedOn w:val="234"/>
    <w:next w:val="234"/>
    <w:qFormat/>
    <w:uiPriority w:val="0"/>
    <w:pPr>
      <w:tabs>
        <w:tab w:val="left" w:pos="693"/>
      </w:tabs>
      <w:spacing w:beforeLines="0"/>
      <w:ind w:left="482"/>
      <w:outlineLvl w:val="0"/>
    </w:pPr>
    <w:rPr>
      <w:color w:val="000000"/>
      <w:sz w:val="24"/>
      <w:szCs w:val="24"/>
    </w:rPr>
  </w:style>
  <w:style w:type="paragraph" w:customStyle="1" w:styleId="28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85">
    <w:name w:val="中等深浅网格 1 - 强调文字颜色 21"/>
    <w:basedOn w:val="1"/>
    <w:qFormat/>
    <w:uiPriority w:val="0"/>
    <w:pPr>
      <w:ind w:firstLine="420" w:firstLineChars="200"/>
    </w:pPr>
    <w:rPr>
      <w:rFonts w:ascii="Calibri" w:hAnsi="Calibri"/>
      <w:szCs w:val="22"/>
    </w:rPr>
  </w:style>
  <w:style w:type="paragraph" w:customStyle="1" w:styleId="286">
    <w:name w:val="Char Char Char Char Char Char Char Char Char Char Char Char Char Char Char Char Char Char Char Char Char"/>
    <w:basedOn w:val="1"/>
    <w:qFormat/>
    <w:uiPriority w:val="0"/>
    <w:rPr>
      <w:rFonts w:ascii="Tahoma" w:hAnsi="Tahoma"/>
      <w:sz w:val="24"/>
    </w:rPr>
  </w:style>
  <w:style w:type="paragraph" w:customStyle="1" w:styleId="28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89">
    <w:name w:val="样式 加点正文 + 段前: 0.5 行 段后: 0.5 行1"/>
    <w:basedOn w:val="1"/>
    <w:qFormat/>
    <w:uiPriority w:val="0"/>
    <w:pPr>
      <w:tabs>
        <w:tab w:val="left" w:pos="420"/>
        <w:tab w:val="left" w:pos="1050"/>
        <w:tab w:val="left" w:pos="1268"/>
      </w:tabs>
      <w:spacing w:beforeLines="50" w:afterLines="50" w:line="300" w:lineRule="auto"/>
      <w:ind w:left="1268" w:hanging="420"/>
    </w:pPr>
    <w:rPr>
      <w:sz w:val="24"/>
    </w:rPr>
  </w:style>
  <w:style w:type="paragraph" w:customStyle="1" w:styleId="290">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1">
    <w:name w:val="样式 标题 2第一章 标题 2Heading 2 HiddenHeading 2 CCBSheading 2H2h2..."/>
    <w:basedOn w:val="4"/>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sz w:val="32"/>
      <w:szCs w:val="20"/>
    </w:rPr>
  </w:style>
  <w:style w:type="paragraph" w:customStyle="1" w:styleId="292">
    <w:name w:val="正文1"/>
    <w:basedOn w:val="1"/>
    <w:next w:val="1"/>
    <w:qFormat/>
    <w:uiPriority w:val="0"/>
    <w:pPr>
      <w:spacing w:before="156" w:line="360" w:lineRule="auto"/>
      <w:ind w:firstLine="510" w:firstLineChars="200"/>
    </w:pPr>
    <w:rPr>
      <w:sz w:val="24"/>
    </w:rPr>
  </w:style>
  <w:style w:type="paragraph" w:customStyle="1" w:styleId="293">
    <w:name w:val="Revision"/>
    <w:semiHidden/>
    <w:qFormat/>
    <w:uiPriority w:val="0"/>
    <w:rPr>
      <w:rFonts w:ascii="Times New Roman" w:hAnsi="Times New Roman" w:eastAsia="宋体" w:cs="Times New Roman"/>
      <w:kern w:val="2"/>
      <w:sz w:val="21"/>
      <w:szCs w:val="24"/>
      <w:lang w:val="en-US" w:eastAsia="zh-CN" w:bidi="ar-SA"/>
    </w:rPr>
  </w:style>
  <w:style w:type="paragraph" w:customStyle="1" w:styleId="294">
    <w:name w:val="标题2"/>
    <w:qFormat/>
    <w:uiPriority w:val="0"/>
    <w:rPr>
      <w:rFonts w:ascii="宋体" w:hAnsi="宋体" w:eastAsia="宋体" w:cs="Times New Roman"/>
      <w:b/>
      <w:sz w:val="32"/>
      <w:szCs w:val="24"/>
      <w:lang w:val="en-US" w:eastAsia="zh-CN" w:bidi="ar-SA"/>
    </w:rPr>
  </w:style>
  <w:style w:type="paragraph" w:customStyle="1" w:styleId="295">
    <w:name w:val="font11"/>
    <w:basedOn w:val="1"/>
    <w:qFormat/>
    <w:uiPriority w:val="0"/>
    <w:pPr>
      <w:widowControl/>
      <w:spacing w:before="100" w:beforeAutospacing="1" w:after="100" w:afterAutospacing="1"/>
      <w:jc w:val="left"/>
    </w:pPr>
    <w:rPr>
      <w:b/>
      <w:bCs/>
      <w:kern w:val="0"/>
      <w:sz w:val="18"/>
      <w:szCs w:val="18"/>
    </w:rPr>
  </w:style>
  <w:style w:type="paragraph" w:customStyle="1" w:styleId="296">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97">
    <w:name w:val="插图"/>
    <w:basedOn w:val="1"/>
    <w:qFormat/>
    <w:uiPriority w:val="0"/>
    <w:pPr>
      <w:tabs>
        <w:tab w:val="left" w:pos="1620"/>
      </w:tabs>
      <w:adjustRightInd w:val="0"/>
      <w:jc w:val="center"/>
    </w:pPr>
    <w:rPr>
      <w:bCs/>
      <w:color w:val="000000"/>
      <w:szCs w:val="22"/>
    </w:rPr>
  </w:style>
  <w:style w:type="paragraph" w:customStyle="1" w:styleId="298">
    <w:name w:val="Normal1"/>
    <w:basedOn w:val="1"/>
    <w:qFormat/>
    <w:uiPriority w:val="0"/>
    <w:rPr>
      <w:rFonts w:ascii="Calibri" w:hAnsi="Calibri" w:eastAsia="Calibri" w:cs="宋体"/>
      <w:kern w:val="0"/>
      <w:lang w:val="zh-CN"/>
    </w:rPr>
  </w:style>
  <w:style w:type="paragraph" w:customStyle="1" w:styleId="29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0">
    <w:name w:val="符号与编号"/>
    <w:basedOn w:val="1"/>
    <w:qFormat/>
    <w:uiPriority w:val="0"/>
    <w:pPr>
      <w:tabs>
        <w:tab w:val="left" w:pos="900"/>
      </w:tabs>
      <w:spacing w:afterLines="50" w:line="400" w:lineRule="atLeast"/>
      <w:ind w:left="900" w:hanging="420"/>
    </w:pPr>
    <w:rPr>
      <w:sz w:val="24"/>
      <w:szCs w:val="24"/>
    </w:rPr>
  </w:style>
  <w:style w:type="paragraph" w:customStyle="1" w:styleId="30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0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03">
    <w:name w:val="马刚标题1"/>
    <w:basedOn w:val="3"/>
    <w:next w:val="1"/>
    <w:qFormat/>
    <w:uiPriority w:val="0"/>
    <w:pPr>
      <w:keepLines/>
      <w:tabs>
        <w:tab w:val="left" w:pos="315"/>
        <w:tab w:val="left" w:pos="567"/>
        <w:tab w:val="clear" w:pos="1440"/>
        <w:tab w:val="clear" w:pos="5670"/>
      </w:tabs>
      <w:spacing w:beforeLines="0" w:afterLines="0" w:line="576" w:lineRule="auto"/>
      <w:ind w:left="567" w:hanging="567" w:firstLineChars="0"/>
      <w:jc w:val="left"/>
    </w:pPr>
    <w:rPr>
      <w:rFonts w:ascii="Times New Roman"/>
      <w:b w:val="0"/>
      <w:sz w:val="32"/>
      <w:szCs w:val="20"/>
    </w:rPr>
  </w:style>
  <w:style w:type="paragraph" w:customStyle="1" w:styleId="30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7">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08">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09">
    <w:name w:val="二级条标题"/>
    <w:basedOn w:val="1"/>
    <w:next w:val="240"/>
    <w:qFormat/>
    <w:uiPriority w:val="0"/>
    <w:pPr>
      <w:widowControl/>
      <w:tabs>
        <w:tab w:val="left" w:pos="2240"/>
      </w:tabs>
      <w:ind w:hanging="420"/>
      <w:outlineLvl w:val="3"/>
    </w:pPr>
    <w:rPr>
      <w:rFonts w:eastAsia="黑体"/>
      <w:kern w:val="0"/>
    </w:rPr>
  </w:style>
  <w:style w:type="paragraph" w:customStyle="1" w:styleId="310">
    <w:name w:val="Test2"/>
    <w:basedOn w:val="4"/>
    <w:qFormat/>
    <w:uiPriority w:val="0"/>
    <w:pPr>
      <w:widowControl/>
      <w:adjustRightInd w:val="0"/>
      <w:snapToGrid w:val="0"/>
      <w:spacing w:beforeLines="50" w:afterLines="50" w:line="480" w:lineRule="exact"/>
      <w:jc w:val="center"/>
    </w:pPr>
    <w:rPr>
      <w:rFonts w:ascii="黑体" w:hAnsi="Arial" w:eastAsia="黑体"/>
      <w:bCs/>
      <w:snapToGrid w:val="0"/>
      <w:sz w:val="24"/>
    </w:rPr>
  </w:style>
  <w:style w:type="paragraph" w:customStyle="1" w:styleId="311">
    <w:name w:val="样式 标题 3H3sect1.2.3BOD 0Heading 3 - oldh3l3CTLevel 3 Head..."/>
    <w:basedOn w:val="6"/>
    <w:qFormat/>
    <w:uiPriority w:val="0"/>
    <w:pPr>
      <w:spacing w:beforeLines="50" w:afterLines="50"/>
      <w:jc w:val="left"/>
    </w:pPr>
    <w:rPr>
      <w:rFonts w:cs="宋体"/>
      <w:bCs/>
      <w:sz w:val="30"/>
    </w:rPr>
  </w:style>
  <w:style w:type="paragraph" w:customStyle="1" w:styleId="31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1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5">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6">
    <w:name w:val="默认段落字体 Para Char"/>
    <w:basedOn w:val="1"/>
    <w:qFormat/>
    <w:uiPriority w:val="0"/>
    <w:rPr>
      <w:sz w:val="24"/>
      <w:szCs w:val="24"/>
    </w:rPr>
  </w:style>
  <w:style w:type="paragraph" w:customStyle="1" w:styleId="317">
    <w:name w:val="Char Char Char Char Char Char Char Char Char Char Char Char Char Char Char Char Char Char Char Char Char Char Char"/>
    <w:basedOn w:val="1"/>
    <w:qFormat/>
    <w:uiPriority w:val="0"/>
    <w:rPr>
      <w:rFonts w:ascii="Tahoma" w:hAnsi="Tahoma"/>
      <w:sz w:val="24"/>
    </w:rPr>
  </w:style>
  <w:style w:type="paragraph" w:customStyle="1" w:styleId="318">
    <w:name w:val="表格内文字"/>
    <w:basedOn w:val="1"/>
    <w:qFormat/>
    <w:uiPriority w:val="0"/>
    <w:pPr>
      <w:spacing w:line="300" w:lineRule="atLeast"/>
    </w:pPr>
    <w:rPr>
      <w:sz w:val="18"/>
      <w:szCs w:val="24"/>
    </w:rPr>
  </w:style>
  <w:style w:type="paragraph" w:customStyle="1" w:styleId="319">
    <w:name w:val="标题3，章节第三层"/>
    <w:basedOn w:val="1"/>
    <w:next w:val="234"/>
    <w:qFormat/>
    <w:uiPriority w:val="0"/>
    <w:pPr>
      <w:adjustRightInd w:val="0"/>
      <w:snapToGrid w:val="0"/>
      <w:spacing w:before="78" w:line="300" w:lineRule="auto"/>
      <w:outlineLvl w:val="2"/>
    </w:pPr>
    <w:rPr>
      <w:rFonts w:ascii="Arial" w:hAnsi="Arial" w:eastAsia="华文细黑"/>
      <w:sz w:val="30"/>
      <w:szCs w:val="24"/>
    </w:rPr>
  </w:style>
  <w:style w:type="paragraph" w:customStyle="1" w:styleId="320">
    <w:name w:val="马刚标题4"/>
    <w:basedOn w:val="238"/>
    <w:next w:val="1"/>
    <w:qFormat/>
    <w:uiPriority w:val="0"/>
    <w:pPr>
      <w:tabs>
        <w:tab w:val="left" w:pos="1050"/>
        <w:tab w:val="clear" w:pos="567"/>
        <w:tab w:val="clear" w:pos="735"/>
      </w:tabs>
      <w:spacing w:before="100" w:after="40"/>
      <w:outlineLvl w:val="3"/>
    </w:pPr>
    <w:rPr>
      <w:b w:val="0"/>
    </w:rPr>
  </w:style>
  <w:style w:type="paragraph" w:customStyle="1" w:styleId="32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22">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323">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5">
    <w:name w:val="Char Char Char Char Char Char Char Char Char Char Char"/>
    <w:basedOn w:val="1"/>
    <w:qFormat/>
    <w:uiPriority w:val="0"/>
    <w:rPr>
      <w:rFonts w:ascii="Tahoma" w:hAnsi="Tahoma" w:cs="Tahoma"/>
      <w:sz w:val="24"/>
    </w:rPr>
  </w:style>
  <w:style w:type="paragraph" w:customStyle="1" w:styleId="326">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7">
    <w:name w:val="项目符号，一级"/>
    <w:basedOn w:val="234"/>
    <w:next w:val="234"/>
    <w:qFormat/>
    <w:uiPriority w:val="0"/>
    <w:pPr>
      <w:tabs>
        <w:tab w:val="left" w:pos="1320"/>
      </w:tabs>
      <w:spacing w:line="240" w:lineRule="atLeast"/>
      <w:ind w:left="376" w:leftChars="179" w:firstLine="0"/>
    </w:pPr>
    <w:rPr>
      <w:bCs w:val="0"/>
      <w:color w:val="000000"/>
      <w:szCs w:val="24"/>
    </w:rPr>
  </w:style>
  <w:style w:type="paragraph" w:customStyle="1" w:styleId="328">
    <w:name w:val="flName"/>
    <w:basedOn w:val="260"/>
    <w:qFormat/>
    <w:uiPriority w:val="0"/>
    <w:pPr>
      <w:spacing w:before="0" w:line="113" w:lineRule="atLeast"/>
    </w:pPr>
  </w:style>
  <w:style w:type="paragraph" w:customStyle="1" w:styleId="329">
    <w:name w:val="段落"/>
    <w:basedOn w:val="1"/>
    <w:qFormat/>
    <w:uiPriority w:val="0"/>
    <w:pPr>
      <w:spacing w:line="460" w:lineRule="exact"/>
      <w:ind w:firstLine="480"/>
    </w:pPr>
    <w:rPr>
      <w:sz w:val="24"/>
    </w:rPr>
  </w:style>
  <w:style w:type="paragraph" w:customStyle="1" w:styleId="330">
    <w:name w:val="普通文字"/>
    <w:basedOn w:val="1"/>
    <w:next w:val="1"/>
    <w:qFormat/>
    <w:uiPriority w:val="0"/>
    <w:rPr>
      <w:rFonts w:ascii="宋体" w:hAnsi="宋体" w:cs="宋体"/>
      <w:kern w:val="0"/>
      <w:sz w:val="24"/>
      <w:u w:color="000000"/>
    </w:rPr>
  </w:style>
  <w:style w:type="paragraph" w:customStyle="1" w:styleId="331">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32">
    <w:name w:val="Char Char Char Char Char Char Char Char Char Char Char Char Char Char"/>
    <w:basedOn w:val="1"/>
    <w:qFormat/>
    <w:uiPriority w:val="0"/>
    <w:rPr>
      <w:rFonts w:ascii="Tahoma" w:hAnsi="Tahoma" w:cs="Tahoma"/>
      <w:sz w:val="24"/>
    </w:rPr>
  </w:style>
  <w:style w:type="paragraph" w:customStyle="1" w:styleId="333">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334">
    <w:name w:val="华宇段落1 Char"/>
    <w:basedOn w:val="1"/>
    <w:qFormat/>
    <w:uiPriority w:val="0"/>
    <w:pPr>
      <w:spacing w:line="360" w:lineRule="auto"/>
      <w:ind w:firstLine="200" w:firstLineChars="200"/>
    </w:pPr>
    <w:rPr>
      <w:bCs/>
      <w:sz w:val="24"/>
      <w:szCs w:val="24"/>
    </w:rPr>
  </w:style>
  <w:style w:type="paragraph" w:customStyle="1" w:styleId="335">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36">
    <w:name w:val="Default Text"/>
    <w:basedOn w:val="1"/>
    <w:qFormat/>
    <w:uiPriority w:val="0"/>
    <w:pPr>
      <w:widowControl/>
      <w:jc w:val="left"/>
    </w:pPr>
    <w:rPr>
      <w:kern w:val="0"/>
      <w:sz w:val="24"/>
      <w:lang w:eastAsia="en-US"/>
    </w:rPr>
  </w:style>
  <w:style w:type="paragraph" w:customStyle="1" w:styleId="33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8">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39">
    <w:name w:val="章标题"/>
    <w:next w:val="240"/>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340">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1">
    <w:name w:val="小四 段落 宋体 Char Char Char"/>
    <w:basedOn w:val="19"/>
    <w:qFormat/>
    <w:uiPriority w:val="0"/>
    <w:pPr>
      <w:tabs>
        <w:tab w:val="clear" w:pos="2952"/>
      </w:tabs>
      <w:spacing w:line="360" w:lineRule="auto"/>
      <w:ind w:left="0" w:right="-33" w:firstLine="545" w:firstLineChars="227"/>
      <w:jc w:val="left"/>
    </w:pPr>
    <w:rPr>
      <w:sz w:val="24"/>
    </w:rPr>
  </w:style>
  <w:style w:type="paragraph" w:customStyle="1" w:styleId="342">
    <w:name w:val="1"/>
    <w:basedOn w:val="1"/>
    <w:next w:val="55"/>
    <w:qFormat/>
    <w:uiPriority w:val="0"/>
    <w:pPr>
      <w:spacing w:line="360" w:lineRule="auto"/>
    </w:pPr>
    <w:rPr>
      <w:rFonts w:eastAsia="仿宋_GB2312"/>
      <w:sz w:val="24"/>
      <w:szCs w:val="24"/>
    </w:rPr>
  </w:style>
  <w:style w:type="paragraph" w:customStyle="1" w:styleId="343">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344">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45">
    <w:name w:val="默认段落字体 Para Char Char Char Char Char Char Char Char Char1 Char Char Char Char Char Char Char"/>
    <w:basedOn w:val="24"/>
    <w:qFormat/>
    <w:uiPriority w:val="0"/>
  </w:style>
  <w:style w:type="paragraph" w:customStyle="1" w:styleId="346">
    <w:name w:val="表格1"/>
    <w:basedOn w:val="1"/>
    <w:qFormat/>
    <w:uiPriority w:val="0"/>
    <w:pPr>
      <w:adjustRightInd w:val="0"/>
      <w:textAlignment w:val="baseline"/>
    </w:pPr>
    <w:rPr>
      <w:rFonts w:ascii="宋体"/>
      <w:kern w:val="24"/>
      <w:szCs w:val="21"/>
    </w:rPr>
  </w:style>
  <w:style w:type="paragraph" w:customStyle="1" w:styleId="347">
    <w:name w:val="tableau"/>
    <w:basedOn w:val="1"/>
    <w:qFormat/>
    <w:uiPriority w:val="0"/>
    <w:pPr>
      <w:widowControl/>
      <w:spacing w:before="20" w:after="20"/>
      <w:jc w:val="center"/>
    </w:pPr>
    <w:rPr>
      <w:rFonts w:ascii="Arial" w:hAnsi="Arial"/>
      <w:kern w:val="0"/>
      <w:sz w:val="16"/>
      <w:lang w:val="en-GB" w:eastAsia="en-US"/>
    </w:rPr>
  </w:style>
  <w:style w:type="paragraph" w:customStyle="1" w:styleId="3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49">
    <w:name w:val="公文标题 2"/>
    <w:basedOn w:val="1"/>
    <w:next w:val="350"/>
    <w:qFormat/>
    <w:uiPriority w:val="0"/>
    <w:pPr>
      <w:outlineLvl w:val="1"/>
    </w:pPr>
    <w:rPr>
      <w:rFonts w:ascii="仿宋_GB2312" w:hAnsi="宋体" w:eastAsia="仿宋_GB2312"/>
      <w:kern w:val="28"/>
      <w:sz w:val="28"/>
      <w:szCs w:val="24"/>
    </w:rPr>
  </w:style>
  <w:style w:type="paragraph" w:customStyle="1" w:styleId="350">
    <w:name w:val="公文正文"/>
    <w:basedOn w:val="30"/>
    <w:qFormat/>
    <w:uiPriority w:val="0"/>
    <w:pPr>
      <w:ind w:firstLine="200" w:firstLineChars="200"/>
    </w:pPr>
    <w:rPr>
      <w:rFonts w:ascii="仿宋_GB2312" w:hAnsi="宋体" w:eastAsia="仿宋_GB2312"/>
      <w:kern w:val="28"/>
      <w:sz w:val="28"/>
      <w:szCs w:val="24"/>
    </w:rPr>
  </w:style>
  <w:style w:type="paragraph" w:customStyle="1" w:styleId="351">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52">
    <w:name w:val="纯文本1"/>
    <w:basedOn w:val="1"/>
    <w:qFormat/>
    <w:uiPriority w:val="0"/>
    <w:pPr>
      <w:adjustRightInd w:val="0"/>
      <w:textAlignment w:val="baseline"/>
    </w:pPr>
    <w:rPr>
      <w:rFonts w:ascii="宋体" w:hAnsi="宋体" w:eastAsia="楷体_GB2312" w:cs="宋体"/>
      <w:sz w:val="28"/>
    </w:rPr>
  </w:style>
  <w:style w:type="paragraph" w:customStyle="1" w:styleId="353">
    <w:name w:val="无间隔1"/>
    <w:link w:val="354"/>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354">
    <w:name w:val="No Spacing Char"/>
    <w:link w:val="353"/>
    <w:qFormat/>
    <w:locked/>
    <w:uiPriority w:val="0"/>
    <w:rPr>
      <w:rFonts w:eastAsia="微软雅黑"/>
      <w:kern w:val="2"/>
      <w:sz w:val="24"/>
      <w:szCs w:val="22"/>
    </w:rPr>
  </w:style>
  <w:style w:type="paragraph" w:customStyle="1" w:styleId="35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6">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5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5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60">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61">
    <w:name w:val="font14"/>
    <w:basedOn w:val="1"/>
    <w:qFormat/>
    <w:uiPriority w:val="0"/>
    <w:pPr>
      <w:widowControl/>
      <w:spacing w:before="100" w:beforeAutospacing="1" w:after="100" w:afterAutospacing="1"/>
      <w:jc w:val="left"/>
    </w:pPr>
    <w:rPr>
      <w:kern w:val="0"/>
      <w:sz w:val="36"/>
      <w:szCs w:val="36"/>
    </w:rPr>
  </w:style>
  <w:style w:type="paragraph" w:customStyle="1" w:styleId="362">
    <w:name w:val="样式3"/>
    <w:basedOn w:val="1"/>
    <w:next w:val="1"/>
    <w:qFormat/>
    <w:uiPriority w:val="0"/>
    <w:pPr>
      <w:spacing w:line="360" w:lineRule="auto"/>
    </w:pPr>
  </w:style>
  <w:style w:type="paragraph" w:customStyle="1" w:styleId="363">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64">
    <w:name w:val="默认段落字体 Para Char Char Char Char Char Char Char"/>
    <w:basedOn w:val="1"/>
    <w:qFormat/>
    <w:uiPriority w:val="0"/>
  </w:style>
  <w:style w:type="paragraph" w:customStyle="1" w:styleId="365">
    <w:name w:val="greytypebeni"/>
    <w:basedOn w:val="1"/>
    <w:qFormat/>
    <w:uiPriority w:val="0"/>
    <w:pPr>
      <w:widowControl/>
      <w:jc w:val="left"/>
    </w:pPr>
    <w:rPr>
      <w:rFonts w:ascii="宋体" w:hAnsi="宋体" w:cs="宋体"/>
      <w:kern w:val="0"/>
      <w:sz w:val="24"/>
      <w:szCs w:val="24"/>
    </w:rPr>
  </w:style>
  <w:style w:type="paragraph" w:customStyle="1" w:styleId="366">
    <w:name w:val="font9"/>
    <w:basedOn w:val="1"/>
    <w:qFormat/>
    <w:uiPriority w:val="0"/>
    <w:pPr>
      <w:widowControl/>
      <w:spacing w:before="100" w:beforeAutospacing="1" w:after="100" w:afterAutospacing="1"/>
      <w:jc w:val="left"/>
    </w:pPr>
    <w:rPr>
      <w:b/>
      <w:bCs/>
      <w:kern w:val="0"/>
      <w:sz w:val="20"/>
    </w:rPr>
  </w:style>
  <w:style w:type="paragraph" w:customStyle="1" w:styleId="367">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69">
    <w:name w:val="丁华正文"/>
    <w:basedOn w:val="52"/>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70">
    <w:name w:val="正文文本缩进1"/>
    <w:basedOn w:val="1"/>
    <w:qFormat/>
    <w:uiPriority w:val="0"/>
    <w:pPr>
      <w:spacing w:after="120"/>
      <w:ind w:left="420" w:leftChars="200"/>
    </w:pPr>
    <w:rPr>
      <w:szCs w:val="24"/>
    </w:rPr>
  </w:style>
  <w:style w:type="paragraph" w:customStyle="1" w:styleId="371">
    <w:name w:val="Char Char Char"/>
    <w:basedOn w:val="24"/>
    <w:qFormat/>
    <w:uiPriority w:val="99"/>
    <w:pPr>
      <w:spacing w:line="436" w:lineRule="exact"/>
    </w:pPr>
    <w:rPr>
      <w:szCs w:val="24"/>
    </w:rPr>
  </w:style>
  <w:style w:type="paragraph" w:customStyle="1" w:styleId="372">
    <w:name w:val="Char Char1 Char Char Char Char1 Char Char Char Char Char Char"/>
    <w:basedOn w:val="1"/>
    <w:qFormat/>
    <w:uiPriority w:val="0"/>
    <w:rPr>
      <w:rFonts w:ascii="Tahoma" w:hAnsi="Tahoma"/>
      <w:sz w:val="24"/>
    </w:rPr>
  </w:style>
  <w:style w:type="paragraph" w:customStyle="1" w:styleId="373">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74">
    <w:name w:val="7"/>
    <w:basedOn w:val="1"/>
    <w:next w:val="58"/>
    <w:qFormat/>
    <w:uiPriority w:val="0"/>
    <w:pPr>
      <w:widowControl/>
      <w:spacing w:before="100" w:beforeAutospacing="1" w:after="100" w:afterAutospacing="1"/>
      <w:jc w:val="left"/>
    </w:pPr>
    <w:rPr>
      <w:rFonts w:ascii="宋体" w:hAnsi="宋体"/>
      <w:kern w:val="0"/>
      <w:sz w:val="24"/>
    </w:rPr>
  </w:style>
  <w:style w:type="paragraph" w:customStyle="1" w:styleId="37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7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77">
    <w:name w:val="正文lzq"/>
    <w:basedOn w:val="1"/>
    <w:qFormat/>
    <w:uiPriority w:val="0"/>
    <w:pPr>
      <w:adjustRightInd w:val="0"/>
      <w:spacing w:line="360" w:lineRule="auto"/>
      <w:ind w:firstLine="480"/>
      <w:textAlignment w:val="baseline"/>
    </w:pPr>
    <w:rPr>
      <w:kern w:val="0"/>
      <w:sz w:val="24"/>
    </w:rPr>
  </w:style>
  <w:style w:type="paragraph" w:customStyle="1" w:styleId="37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79">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8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81">
    <w:name w:val="标准小四"/>
    <w:basedOn w:val="1"/>
    <w:qFormat/>
    <w:uiPriority w:val="0"/>
    <w:pPr>
      <w:spacing w:line="360" w:lineRule="auto"/>
      <w:ind w:firstLine="480" w:firstLineChars="200"/>
    </w:pPr>
    <w:rPr>
      <w:rFonts w:ascii="Arial" w:hAnsi="Arial"/>
      <w:sz w:val="24"/>
      <w:szCs w:val="21"/>
    </w:rPr>
  </w:style>
  <w:style w:type="paragraph" w:customStyle="1" w:styleId="382">
    <w:name w:val="正文2"/>
    <w:basedOn w:val="1"/>
    <w:qFormat/>
    <w:uiPriority w:val="0"/>
    <w:rPr>
      <w:rFonts w:ascii="Calibri" w:hAnsi="Calibri" w:eastAsia="Calibri" w:cs="宋体"/>
      <w:kern w:val="0"/>
      <w:lang w:val="zh-CN"/>
    </w:rPr>
  </w:style>
  <w:style w:type="paragraph" w:customStyle="1" w:styleId="383">
    <w:name w:val="列出段落11"/>
    <w:basedOn w:val="1"/>
    <w:qFormat/>
    <w:uiPriority w:val="0"/>
    <w:pPr>
      <w:ind w:firstLine="420" w:firstLineChars="200"/>
    </w:pPr>
    <w:rPr>
      <w:rFonts w:ascii="Calibri" w:hAnsi="Calibri"/>
      <w:szCs w:val="22"/>
    </w:rPr>
  </w:style>
  <w:style w:type="paragraph" w:customStyle="1" w:styleId="384">
    <w:name w:val="样式2"/>
    <w:basedOn w:val="1"/>
    <w:qFormat/>
    <w:uiPriority w:val="0"/>
    <w:pPr>
      <w:spacing w:line="360" w:lineRule="auto"/>
      <w:ind w:left="200" w:leftChars="200"/>
    </w:pPr>
    <w:rPr>
      <w:rFonts w:ascii="宋体" w:hAnsi="宋体"/>
      <w:b/>
      <w:sz w:val="24"/>
      <w:szCs w:val="24"/>
    </w:rPr>
  </w:style>
  <w:style w:type="paragraph" w:customStyle="1" w:styleId="38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8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87">
    <w:name w:val="flType"/>
    <w:basedOn w:val="328"/>
    <w:qFormat/>
    <w:uiPriority w:val="0"/>
    <w:pPr>
      <w:spacing w:after="284"/>
    </w:pPr>
    <w:rPr>
      <w:rFonts w:eastAsia="宋体"/>
      <w:b w:val="0"/>
    </w:rPr>
  </w:style>
  <w:style w:type="paragraph" w:customStyle="1" w:styleId="388">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sz w:val="24"/>
    </w:rPr>
  </w:style>
  <w:style w:type="paragraph" w:customStyle="1" w:styleId="389">
    <w:name w:val="标题2，章节第二层"/>
    <w:basedOn w:val="1"/>
    <w:next w:val="234"/>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90">
    <w:name w:val="样式1"/>
    <w:basedOn w:val="1"/>
    <w:qFormat/>
    <w:uiPriority w:val="0"/>
    <w:pPr>
      <w:spacing w:line="300" w:lineRule="auto"/>
      <w:ind w:firstLine="480" w:firstLineChars="200"/>
    </w:pPr>
    <w:rPr>
      <w:sz w:val="24"/>
      <w:szCs w:val="24"/>
    </w:rPr>
  </w:style>
  <w:style w:type="paragraph" w:customStyle="1" w:styleId="391">
    <w:name w:val="Char Char Char Char Char Char Char Char Char Char Char Char Char"/>
    <w:basedOn w:val="24"/>
    <w:qFormat/>
    <w:uiPriority w:val="0"/>
    <w:rPr>
      <w:rFonts w:ascii="Tahoma" w:hAnsi="Tahoma"/>
      <w:sz w:val="24"/>
      <w:szCs w:val="24"/>
    </w:rPr>
  </w:style>
  <w:style w:type="paragraph" w:customStyle="1" w:styleId="392">
    <w:name w:val="标准文本"/>
    <w:basedOn w:val="1"/>
    <w:qFormat/>
    <w:uiPriority w:val="0"/>
    <w:pPr>
      <w:spacing w:line="360" w:lineRule="auto"/>
      <w:ind w:firstLine="480" w:firstLineChars="200"/>
    </w:pPr>
    <w:rPr>
      <w:rFonts w:cs="宋体"/>
      <w:sz w:val="24"/>
      <w:szCs w:val="24"/>
    </w:rPr>
  </w:style>
  <w:style w:type="paragraph" w:styleId="393">
    <w:name w:val="List Paragraph"/>
    <w:basedOn w:val="1"/>
    <w:qFormat/>
    <w:uiPriority w:val="34"/>
    <w:pPr>
      <w:ind w:firstLine="420" w:firstLineChars="200"/>
    </w:pPr>
    <w:rPr>
      <w:szCs w:val="24"/>
    </w:rPr>
  </w:style>
  <w:style w:type="paragraph" w:customStyle="1" w:styleId="394">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95">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9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7">
    <w:name w:val="列出段落1"/>
    <w:basedOn w:val="1"/>
    <w:link w:val="398"/>
    <w:qFormat/>
    <w:uiPriority w:val="99"/>
    <w:pPr>
      <w:widowControl/>
      <w:ind w:left="720"/>
      <w:contextualSpacing/>
      <w:jc w:val="left"/>
    </w:pPr>
    <w:rPr>
      <w:rFonts w:ascii="Arial" w:hAnsi="Arial" w:eastAsia="黑体"/>
      <w:kern w:val="0"/>
      <w:sz w:val="24"/>
      <w:szCs w:val="24"/>
      <w:lang w:eastAsia="en-US"/>
    </w:rPr>
  </w:style>
  <w:style w:type="character" w:customStyle="1" w:styleId="398">
    <w:name w:val="列出段落 Char"/>
    <w:link w:val="397"/>
    <w:qFormat/>
    <w:locked/>
    <w:uiPriority w:val="34"/>
    <w:rPr>
      <w:rFonts w:ascii="Arial" w:hAnsi="Arial" w:eastAsia="黑体"/>
      <w:sz w:val="24"/>
      <w:szCs w:val="24"/>
      <w:lang w:eastAsia="en-US"/>
    </w:rPr>
  </w:style>
  <w:style w:type="paragraph" w:customStyle="1" w:styleId="399">
    <w:name w:val="丁华标题3"/>
    <w:basedOn w:val="400"/>
    <w:next w:val="369"/>
    <w:qFormat/>
    <w:uiPriority w:val="0"/>
    <w:pPr>
      <w:tabs>
        <w:tab w:val="left" w:pos="1004"/>
        <w:tab w:val="left" w:pos="1470"/>
        <w:tab w:val="left" w:pos="1980"/>
      </w:tabs>
      <w:spacing w:after="0"/>
      <w:ind w:left="1980" w:hanging="420"/>
      <w:outlineLvl w:val="2"/>
    </w:pPr>
    <w:rPr>
      <w:sz w:val="24"/>
    </w:rPr>
  </w:style>
  <w:style w:type="paragraph" w:customStyle="1" w:styleId="400">
    <w:name w:val="丁华标题2"/>
    <w:basedOn w:val="4"/>
    <w:next w:val="369"/>
    <w:qFormat/>
    <w:uiPriority w:val="0"/>
    <w:pPr>
      <w:tabs>
        <w:tab w:val="left" w:pos="1004"/>
      </w:tabs>
      <w:spacing w:line="415" w:lineRule="auto"/>
      <w:ind w:left="567" w:hanging="283"/>
    </w:pPr>
    <w:rPr>
      <w:rFonts w:ascii="Arial" w:hAnsi="Arial" w:eastAsia="黑体"/>
      <w:b w:val="0"/>
      <w:sz w:val="28"/>
      <w:szCs w:val="20"/>
    </w:rPr>
  </w:style>
  <w:style w:type="paragraph" w:customStyle="1" w:styleId="401">
    <w:name w:val="列出段落2"/>
    <w:basedOn w:val="1"/>
    <w:qFormat/>
    <w:uiPriority w:val="34"/>
    <w:pPr>
      <w:widowControl/>
      <w:ind w:left="720"/>
      <w:jc w:val="left"/>
    </w:pPr>
    <w:rPr>
      <w:rFonts w:ascii="Arial" w:hAnsi="Arial" w:eastAsia="黑体" w:cs="Arial"/>
      <w:kern w:val="0"/>
      <w:sz w:val="24"/>
      <w:szCs w:val="24"/>
      <w:lang w:eastAsia="en-US"/>
    </w:rPr>
  </w:style>
  <w:style w:type="paragraph" w:customStyle="1" w:styleId="402">
    <w:name w:val="样式 样式 首行缩进:  2 字符 + 行距: 1.5 倍行距"/>
    <w:basedOn w:val="1"/>
    <w:qFormat/>
    <w:uiPriority w:val="0"/>
    <w:pPr>
      <w:spacing w:line="360" w:lineRule="auto"/>
      <w:ind w:firstLine="470" w:firstLineChars="196"/>
    </w:pPr>
    <w:rPr>
      <w:sz w:val="24"/>
    </w:rPr>
  </w:style>
  <w:style w:type="paragraph" w:customStyle="1" w:styleId="403">
    <w:name w:val="项目符号：一级"/>
    <w:basedOn w:val="234"/>
    <w:next w:val="234"/>
    <w:qFormat/>
    <w:uiPriority w:val="0"/>
    <w:pPr>
      <w:ind w:right="-134" w:rightChars="-64"/>
    </w:pPr>
    <w:rPr>
      <w:bCs w:val="0"/>
    </w:rPr>
  </w:style>
  <w:style w:type="paragraph" w:customStyle="1" w:styleId="404">
    <w:name w:val="丁华标题1"/>
    <w:basedOn w:val="3"/>
    <w:next w:val="369"/>
    <w:qFormat/>
    <w:uiPriority w:val="0"/>
    <w:pPr>
      <w:keepLines/>
      <w:tabs>
        <w:tab w:val="left" w:pos="567"/>
        <w:tab w:val="clear" w:pos="5670"/>
      </w:tabs>
      <w:spacing w:beforeLines="0" w:afterLines="0" w:line="578" w:lineRule="auto"/>
      <w:ind w:left="567" w:firstLine="0" w:firstLineChars="0"/>
      <w:jc w:val="left"/>
    </w:pPr>
    <w:rPr>
      <w:rFonts w:ascii="Times New Roman"/>
      <w:b w:val="0"/>
      <w:sz w:val="32"/>
      <w:szCs w:val="20"/>
    </w:rPr>
  </w:style>
  <w:style w:type="paragraph" w:customStyle="1" w:styleId="405">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6">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407">
    <w:name w:val="_Style 42"/>
    <w:basedOn w:val="1"/>
    <w:next w:val="29"/>
    <w:qFormat/>
    <w:uiPriority w:val="0"/>
    <w:rPr>
      <w:rFonts w:ascii="楷体_GB2312" w:hAnsi="Arial" w:eastAsia="楷体_GB2312"/>
      <w:sz w:val="28"/>
    </w:rPr>
  </w:style>
  <w:style w:type="paragraph" w:customStyle="1" w:styleId="408">
    <w:name w:val="表格"/>
    <w:basedOn w:val="1"/>
    <w:link w:val="521"/>
    <w:qFormat/>
    <w:uiPriority w:val="0"/>
    <w:pPr>
      <w:snapToGrid w:val="0"/>
      <w:ind w:firstLine="21" w:firstLineChars="21"/>
    </w:pPr>
    <w:rPr>
      <w:rFonts w:ascii="宋体" w:hAnsi="宋体" w:cs="宋体"/>
      <w:kern w:val="0"/>
      <w:sz w:val="20"/>
    </w:rPr>
  </w:style>
  <w:style w:type="paragraph" w:customStyle="1" w:styleId="409">
    <w:name w:val="Char Char Char Char Char Char Char1 Char"/>
    <w:basedOn w:val="1"/>
    <w:qFormat/>
    <w:uiPriority w:val="0"/>
    <w:rPr>
      <w:rFonts w:ascii="Tahoma" w:hAnsi="Tahoma" w:cs="Tahoma"/>
      <w:sz w:val="24"/>
    </w:rPr>
  </w:style>
  <w:style w:type="paragraph" w:customStyle="1" w:styleId="410">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4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2">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13">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414">
    <w:name w:val="标题3"/>
    <w:basedOn w:val="6"/>
    <w:qFormat/>
    <w:uiPriority w:val="0"/>
    <w:pPr>
      <w:keepNext w:val="0"/>
      <w:keepLines w:val="0"/>
      <w:spacing w:line="360" w:lineRule="auto"/>
    </w:pPr>
    <w:rPr>
      <w:rFonts w:eastAsia="仿宋_GB2312"/>
      <w:b w:val="0"/>
      <w:bCs/>
      <w:sz w:val="30"/>
      <w:szCs w:val="32"/>
    </w:rPr>
  </w:style>
  <w:style w:type="paragraph" w:customStyle="1" w:styleId="415">
    <w:name w:val="retrait3"/>
    <w:basedOn w:val="1"/>
    <w:qFormat/>
    <w:uiPriority w:val="0"/>
    <w:pPr>
      <w:widowControl/>
      <w:spacing w:before="20" w:after="20"/>
      <w:ind w:left="851"/>
      <w:jc w:val="left"/>
    </w:pPr>
    <w:rPr>
      <w:rFonts w:ascii="Arial" w:hAnsi="Arial"/>
      <w:kern w:val="0"/>
      <w:sz w:val="24"/>
      <w:lang w:val="en-GB"/>
    </w:rPr>
  </w:style>
  <w:style w:type="paragraph" w:customStyle="1" w:styleId="416">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17">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41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419">
    <w:name w:val="项目符号，二级"/>
    <w:basedOn w:val="234"/>
    <w:next w:val="234"/>
    <w:qFormat/>
    <w:uiPriority w:val="0"/>
    <w:pPr>
      <w:tabs>
        <w:tab w:val="left" w:pos="567"/>
        <w:tab w:val="left" w:pos="1211"/>
        <w:tab w:val="left" w:pos="1337"/>
      </w:tabs>
      <w:ind w:left="1337" w:right="-27" w:firstLine="480"/>
    </w:pPr>
    <w:rPr>
      <w:bCs w:val="0"/>
      <w:color w:val="000000"/>
      <w:sz w:val="24"/>
      <w:szCs w:val="24"/>
    </w:rPr>
  </w:style>
  <w:style w:type="paragraph" w:customStyle="1" w:styleId="42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421">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422">
    <w:name w:val="标题6"/>
    <w:basedOn w:val="8"/>
    <w:link w:val="579"/>
    <w:qFormat/>
    <w:uiPriority w:val="0"/>
    <w:pPr>
      <w:keepLines/>
      <w:tabs>
        <w:tab w:val="left" w:pos="420"/>
        <w:tab w:val="left" w:pos="1050"/>
      </w:tabs>
      <w:autoSpaceDE/>
      <w:autoSpaceDN/>
      <w:adjustRightInd/>
      <w:ind w:left="1050" w:hanging="420"/>
    </w:pPr>
    <w:rPr>
      <w:rFonts w:ascii="Times New Roman"/>
      <w:b w:val="0"/>
      <w:bCs/>
      <w:color w:val="auto"/>
      <w:kern w:val="2"/>
      <w:sz w:val="24"/>
      <w:szCs w:val="28"/>
    </w:rPr>
  </w:style>
  <w:style w:type="paragraph" w:customStyle="1" w:styleId="423">
    <w:name w:val="符号与编号 Char"/>
    <w:basedOn w:val="1"/>
    <w:qFormat/>
    <w:uiPriority w:val="0"/>
    <w:pPr>
      <w:tabs>
        <w:tab w:val="left" w:pos="720"/>
      </w:tabs>
      <w:spacing w:afterLines="50" w:line="400" w:lineRule="atLeast"/>
      <w:ind w:left="720"/>
    </w:pPr>
    <w:rPr>
      <w:sz w:val="24"/>
      <w:szCs w:val="24"/>
    </w:rPr>
  </w:style>
  <w:style w:type="paragraph" w:customStyle="1" w:styleId="424">
    <w:name w:val="Table Paragraph"/>
    <w:basedOn w:val="1"/>
    <w:qFormat/>
    <w:uiPriority w:val="1"/>
    <w:pPr>
      <w:autoSpaceDE w:val="0"/>
      <w:autoSpaceDN w:val="0"/>
      <w:jc w:val="left"/>
    </w:pPr>
    <w:rPr>
      <w:rFonts w:ascii="Calibri" w:hAnsi="Calibri" w:cs="仿宋"/>
      <w:color w:val="000000"/>
      <w:kern w:val="0"/>
      <w:sz w:val="24"/>
      <w:szCs w:val="24"/>
      <w:lang w:eastAsia="en-US"/>
    </w:rPr>
  </w:style>
  <w:style w:type="paragraph" w:customStyle="1" w:styleId="425">
    <w:name w:val="正文 A"/>
    <w:qFormat/>
    <w:uiPriority w:val="99"/>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table" w:customStyle="1" w:styleId="426">
    <w:name w:val="Table Normal"/>
    <w:unhideWhenUsed/>
    <w:qFormat/>
    <w:uiPriority w:val="2"/>
    <w:pPr>
      <w:widowControl w:val="0"/>
      <w:autoSpaceDE w:val="0"/>
      <w:autoSpaceDN w:val="0"/>
    </w:pPr>
    <w:rPr>
      <w:rFonts w:cs="仿宋"/>
      <w:color w:val="000000"/>
      <w:sz w:val="24"/>
      <w:szCs w:val="24"/>
      <w:lang w:eastAsia="en-US"/>
    </w:rPr>
    <w:tblPr>
      <w:tblCellMar>
        <w:top w:w="0" w:type="dxa"/>
        <w:left w:w="0" w:type="dxa"/>
        <w:bottom w:w="0" w:type="dxa"/>
        <w:right w:w="0" w:type="dxa"/>
      </w:tblCellMar>
    </w:tblPr>
  </w:style>
  <w:style w:type="character" w:customStyle="1" w:styleId="427">
    <w:name w:val="标题 3 字符"/>
    <w:qFormat/>
    <w:uiPriority w:val="0"/>
    <w:rPr>
      <w:rFonts w:ascii="宋体" w:hAnsi="宋体" w:eastAsia="宋体" w:cs="Times New Roman"/>
      <w:b/>
      <w:szCs w:val="21"/>
      <w:shd w:val="clear" w:color="auto" w:fill="FFFFFF"/>
    </w:rPr>
  </w:style>
  <w:style w:type="paragraph" w:customStyle="1" w:styleId="428">
    <w:name w:val="xl75"/>
    <w:basedOn w:val="1"/>
    <w:next w:val="310"/>
    <w:qFormat/>
    <w:uiPriority w:val="0"/>
    <w:pPr>
      <w:widowControl/>
      <w:spacing w:before="280" w:after="280"/>
      <w:ind w:left="200" w:firstLine="5320"/>
      <w:jc w:val="center"/>
    </w:pPr>
    <w:rPr>
      <w:rFonts w:ascii="宋体"/>
    </w:rPr>
  </w:style>
  <w:style w:type="paragraph" w:customStyle="1" w:styleId="429">
    <w:name w:val="BodyText"/>
    <w:basedOn w:val="1"/>
    <w:qFormat/>
    <w:uiPriority w:val="99"/>
    <w:pPr>
      <w:spacing w:after="120"/>
      <w:textAlignment w:val="baseline"/>
    </w:pPr>
    <w:rPr>
      <w:kern w:val="0"/>
      <w:sz w:val="20"/>
    </w:rPr>
  </w:style>
  <w:style w:type="paragraph" w:customStyle="1" w:styleId="430">
    <w:name w:val="WPSOffice手动目录 1"/>
    <w:qFormat/>
    <w:uiPriority w:val="0"/>
    <w:rPr>
      <w:rFonts w:ascii="Times New Roman" w:hAnsi="Times New Roman" w:eastAsia="宋体" w:cs="Times New Roman"/>
      <w:lang w:val="en-US" w:eastAsia="zh-CN" w:bidi="ar-SA"/>
    </w:rPr>
  </w:style>
  <w:style w:type="paragraph" w:customStyle="1" w:styleId="431">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b w:val="0"/>
      <w:kern w:val="2"/>
      <w:sz w:val="28"/>
      <w:szCs w:val="20"/>
    </w:rPr>
  </w:style>
  <w:style w:type="paragraph" w:customStyle="1" w:styleId="432">
    <w:name w:val="样式 标题 3 + (中文) 黑体 小四 非加粗 段前: 7.8 磅 段后: 0 磅 行距: 固定值 20 磅"/>
    <w:basedOn w:val="6"/>
    <w:qFormat/>
    <w:uiPriority w:val="0"/>
    <w:pPr>
      <w:keepNext w:val="0"/>
      <w:keepLines w:val="0"/>
      <w:shd w:val="clear" w:color="auto" w:fill="auto"/>
      <w:wordWrap/>
      <w:spacing w:line="400" w:lineRule="exact"/>
      <w:ind w:left="710"/>
    </w:pPr>
    <w:rPr>
      <w:rFonts w:eastAsia="黑体" w:cs="宋体"/>
      <w:b w:val="0"/>
      <w:bCs/>
      <w:kern w:val="2"/>
      <w:sz w:val="24"/>
      <w:szCs w:val="31"/>
    </w:rPr>
  </w:style>
  <w:style w:type="character" w:customStyle="1" w:styleId="433">
    <w:name w:val="layui-this"/>
    <w:qFormat/>
    <w:uiPriority w:val="0"/>
    <w:rPr>
      <w:rFonts w:cs="Times New Roman"/>
      <w:bdr w:val="single" w:color="EEEEEE" w:sz="6" w:space="0"/>
      <w:shd w:val="clear" w:color="auto" w:fill="FFFFFF"/>
    </w:rPr>
  </w:style>
  <w:style w:type="character" w:customStyle="1" w:styleId="434">
    <w:name w:val="layui-laypage-curr"/>
    <w:qFormat/>
    <w:uiPriority w:val="0"/>
    <w:rPr>
      <w:rFonts w:cs="Times New Roman"/>
    </w:rPr>
  </w:style>
  <w:style w:type="character" w:customStyle="1" w:styleId="435">
    <w:name w:val="hover12"/>
    <w:qFormat/>
    <w:uiPriority w:val="0"/>
    <w:rPr>
      <w:rFonts w:cs="Times New Roman"/>
    </w:rPr>
  </w:style>
  <w:style w:type="character" w:customStyle="1" w:styleId="436">
    <w:name w:val="first-child"/>
    <w:qFormat/>
    <w:uiPriority w:val="0"/>
    <w:rPr>
      <w:rFonts w:cs="Times New Roman"/>
    </w:rPr>
  </w:style>
  <w:style w:type="character" w:customStyle="1" w:styleId="437">
    <w:name w:val="label"/>
    <w:qFormat/>
    <w:uiPriority w:val="0"/>
    <w:rPr>
      <w:rFonts w:cs="Times New Roman"/>
      <w:color w:val="999999"/>
    </w:rPr>
  </w:style>
  <w:style w:type="character" w:customStyle="1" w:styleId="438">
    <w:name w:val="hover13"/>
    <w:qFormat/>
    <w:uiPriority w:val="0"/>
    <w:rPr>
      <w:rFonts w:cs="Times New Roman"/>
    </w:rPr>
  </w:style>
  <w:style w:type="character" w:customStyle="1" w:styleId="439">
    <w:name w:val="first-child1"/>
    <w:qFormat/>
    <w:uiPriority w:val="0"/>
    <w:rPr>
      <w:rFonts w:cs="Times New Roman"/>
    </w:rPr>
  </w:style>
  <w:style w:type="character" w:customStyle="1" w:styleId="440">
    <w:name w:val="layui-this2"/>
    <w:qFormat/>
    <w:uiPriority w:val="0"/>
    <w:rPr>
      <w:rFonts w:cs="Times New Roman"/>
      <w:bdr w:val="single" w:color="EEEEEE" w:sz="6" w:space="0"/>
      <w:shd w:val="clear" w:color="auto" w:fill="FFFFFF"/>
    </w:rPr>
  </w:style>
  <w:style w:type="paragraph" w:customStyle="1" w:styleId="441">
    <w:name w:val="0"/>
    <w:basedOn w:val="1"/>
    <w:qFormat/>
    <w:uiPriority w:val="99"/>
    <w:pPr>
      <w:widowControl/>
    </w:pPr>
    <w:rPr>
      <w:kern w:val="0"/>
    </w:rPr>
  </w:style>
  <w:style w:type="character" w:customStyle="1" w:styleId="442">
    <w:name w:val="hover10"/>
    <w:qFormat/>
    <w:uiPriority w:val="99"/>
    <w:rPr>
      <w:rFonts w:cs="Times New Roman"/>
    </w:rPr>
  </w:style>
  <w:style w:type="character" w:customStyle="1" w:styleId="443">
    <w:name w:val="hover"/>
    <w:qFormat/>
    <w:uiPriority w:val="0"/>
    <w:rPr>
      <w:rFonts w:cs="Times New Roman"/>
    </w:rPr>
  </w:style>
  <w:style w:type="character" w:customStyle="1" w:styleId="444">
    <w:name w:val="font41"/>
    <w:qFormat/>
    <w:uiPriority w:val="99"/>
    <w:rPr>
      <w:rFonts w:ascii="宋体" w:hAnsi="宋体" w:eastAsia="宋体" w:cs="宋体"/>
      <w:color w:val="000000"/>
      <w:sz w:val="18"/>
      <w:szCs w:val="18"/>
      <w:u w:val="none"/>
      <w:vertAlign w:val="superscript"/>
    </w:rPr>
  </w:style>
  <w:style w:type="character" w:customStyle="1" w:styleId="445">
    <w:name w:val="00-合正 Char"/>
    <w:link w:val="446"/>
    <w:qFormat/>
    <w:locked/>
    <w:uiPriority w:val="0"/>
    <w:rPr>
      <w:rFonts w:ascii="楷体" w:hAnsi="楷体" w:eastAsia="楷体"/>
      <w:color w:val="000000"/>
      <w:sz w:val="24"/>
    </w:rPr>
  </w:style>
  <w:style w:type="paragraph" w:customStyle="1" w:styleId="446">
    <w:name w:val="00-合正"/>
    <w:basedOn w:val="1"/>
    <w:link w:val="445"/>
    <w:qFormat/>
    <w:uiPriority w:val="0"/>
    <w:pPr>
      <w:spacing w:line="560" w:lineRule="exact"/>
      <w:ind w:firstLine="200" w:firstLineChars="200"/>
      <w:jc w:val="left"/>
    </w:pPr>
    <w:rPr>
      <w:rFonts w:ascii="楷体" w:hAnsi="楷体" w:eastAsia="楷体"/>
      <w:color w:val="000000"/>
      <w:kern w:val="0"/>
      <w:sz w:val="24"/>
    </w:rPr>
  </w:style>
  <w:style w:type="paragraph" w:customStyle="1" w:styleId="447">
    <w:name w:val="正文缩进2格"/>
    <w:basedOn w:val="1"/>
    <w:qFormat/>
    <w:uiPriority w:val="99"/>
    <w:pPr>
      <w:spacing w:line="600" w:lineRule="exact"/>
      <w:ind w:firstLine="639" w:firstLineChars="206"/>
    </w:pPr>
    <w:rPr>
      <w:rFonts w:ascii="仿宋_GB2312" w:hAnsi="宋体" w:eastAsia="仿宋_GB2312"/>
      <w:sz w:val="31"/>
      <w:szCs w:val="28"/>
    </w:rPr>
  </w:style>
  <w:style w:type="paragraph" w:customStyle="1" w:styleId="448">
    <w:name w:val="正文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49">
    <w:name w:val="标题 2_0"/>
    <w:basedOn w:val="448"/>
    <w:next w:val="448"/>
    <w:link w:val="450"/>
    <w:qFormat/>
    <w:uiPriority w:val="99"/>
    <w:pPr>
      <w:keepNext/>
      <w:keepLines/>
      <w:spacing w:before="260" w:after="260" w:line="416" w:lineRule="auto"/>
      <w:outlineLvl w:val="1"/>
    </w:pPr>
    <w:rPr>
      <w:rFonts w:ascii="Cambria" w:hAnsi="Cambria"/>
      <w:b/>
      <w:bCs/>
      <w:sz w:val="32"/>
      <w:szCs w:val="32"/>
    </w:rPr>
  </w:style>
  <w:style w:type="character" w:customStyle="1" w:styleId="450">
    <w:name w:val="标题 2 Char_0"/>
    <w:link w:val="449"/>
    <w:qFormat/>
    <w:locked/>
    <w:uiPriority w:val="99"/>
    <w:rPr>
      <w:rFonts w:ascii="Cambria" w:hAnsi="Cambria"/>
      <w:b/>
      <w:bCs/>
      <w:kern w:val="2"/>
      <w:sz w:val="32"/>
      <w:szCs w:val="32"/>
    </w:rPr>
  </w:style>
  <w:style w:type="paragraph" w:customStyle="1" w:styleId="451">
    <w:name w:val="标题 3_0"/>
    <w:basedOn w:val="448"/>
    <w:next w:val="448"/>
    <w:link w:val="452"/>
    <w:qFormat/>
    <w:uiPriority w:val="99"/>
    <w:pPr>
      <w:keepNext/>
      <w:keepLines/>
      <w:spacing w:before="260" w:after="260" w:line="413" w:lineRule="auto"/>
      <w:outlineLvl w:val="2"/>
    </w:pPr>
    <w:rPr>
      <w:b/>
      <w:sz w:val="32"/>
    </w:rPr>
  </w:style>
  <w:style w:type="character" w:customStyle="1" w:styleId="452">
    <w:name w:val="标题 3 Char_0"/>
    <w:link w:val="451"/>
    <w:qFormat/>
    <w:locked/>
    <w:uiPriority w:val="99"/>
    <w:rPr>
      <w:b/>
      <w:kern w:val="2"/>
      <w:sz w:val="32"/>
    </w:rPr>
  </w:style>
  <w:style w:type="paragraph" w:customStyle="1" w:styleId="453">
    <w:name w:val="列表段落1"/>
    <w:basedOn w:val="1"/>
    <w:qFormat/>
    <w:uiPriority w:val="34"/>
    <w:pPr>
      <w:ind w:firstLine="420" w:firstLineChars="200"/>
    </w:pPr>
    <w:rPr>
      <w:szCs w:val="24"/>
    </w:rPr>
  </w:style>
  <w:style w:type="paragraph" w:customStyle="1" w:styleId="454">
    <w:name w:val="正文_0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55">
    <w:name w:val="批注框文本 Char2"/>
    <w:qFormat/>
    <w:uiPriority w:val="99"/>
    <w:rPr>
      <w:rFonts w:ascii="Times New Roman" w:hAnsi="Times New Roman" w:eastAsia="宋体" w:cs="Times New Roman"/>
      <w:kern w:val="2"/>
      <w:sz w:val="18"/>
      <w:szCs w:val="18"/>
    </w:rPr>
  </w:style>
  <w:style w:type="character" w:customStyle="1" w:styleId="456">
    <w:name w:val="页眉 Char1"/>
    <w:qFormat/>
    <w:uiPriority w:val="0"/>
    <w:rPr>
      <w:kern w:val="2"/>
      <w:sz w:val="18"/>
      <w:szCs w:val="18"/>
    </w:rPr>
  </w:style>
  <w:style w:type="character" w:customStyle="1" w:styleId="457">
    <w:name w:val="标题 2 Char Char"/>
    <w:qFormat/>
    <w:uiPriority w:val="0"/>
    <w:rPr>
      <w:rFonts w:ascii="Arial" w:hAnsi="Arial" w:eastAsia="黑体"/>
      <w:b/>
      <w:kern w:val="2"/>
      <w:sz w:val="32"/>
      <w:lang w:val="en-US" w:eastAsia="zh-CN"/>
    </w:rPr>
  </w:style>
  <w:style w:type="character" w:customStyle="1" w:styleId="458">
    <w:name w:val="Char Char13"/>
    <w:qFormat/>
    <w:locked/>
    <w:uiPriority w:val="0"/>
    <w:rPr>
      <w:rFonts w:ascii="华文细黑" w:hAnsi="Arial" w:eastAsia="华文细黑"/>
      <w:b/>
      <w:sz w:val="32"/>
    </w:rPr>
  </w:style>
  <w:style w:type="character" w:customStyle="1" w:styleId="459">
    <w:name w:val="访问过的超链接1"/>
    <w:qFormat/>
    <w:uiPriority w:val="0"/>
    <w:rPr>
      <w:color w:val="800080"/>
      <w:u w:val="single"/>
    </w:rPr>
  </w:style>
  <w:style w:type="paragraph" w:customStyle="1" w:styleId="460">
    <w:name w:val="目录 71"/>
    <w:basedOn w:val="1"/>
    <w:next w:val="1"/>
    <w:qFormat/>
    <w:uiPriority w:val="39"/>
    <w:pPr>
      <w:spacing w:line="360" w:lineRule="auto"/>
      <w:ind w:left="1260"/>
      <w:jc w:val="left"/>
    </w:pPr>
    <w:rPr>
      <w:rFonts w:ascii="等线" w:eastAsia="等线"/>
      <w:sz w:val="18"/>
      <w:szCs w:val="18"/>
    </w:rPr>
  </w:style>
  <w:style w:type="paragraph" w:customStyle="1" w:styleId="461">
    <w:name w:val="目录 51"/>
    <w:basedOn w:val="1"/>
    <w:next w:val="1"/>
    <w:qFormat/>
    <w:uiPriority w:val="39"/>
    <w:pPr>
      <w:spacing w:line="360" w:lineRule="auto"/>
      <w:ind w:left="840"/>
      <w:jc w:val="left"/>
    </w:pPr>
    <w:rPr>
      <w:rFonts w:ascii="等线" w:eastAsia="等线"/>
      <w:sz w:val="18"/>
      <w:szCs w:val="18"/>
    </w:rPr>
  </w:style>
  <w:style w:type="paragraph" w:customStyle="1" w:styleId="462">
    <w:name w:val="目录 91"/>
    <w:basedOn w:val="1"/>
    <w:next w:val="1"/>
    <w:qFormat/>
    <w:uiPriority w:val="39"/>
    <w:pPr>
      <w:spacing w:line="360" w:lineRule="auto"/>
      <w:ind w:left="1680"/>
      <w:jc w:val="left"/>
    </w:pPr>
    <w:rPr>
      <w:rFonts w:ascii="等线" w:eastAsia="等线"/>
      <w:sz w:val="18"/>
      <w:szCs w:val="18"/>
    </w:rPr>
  </w:style>
  <w:style w:type="character" w:customStyle="1" w:styleId="463">
    <w:name w:val="标题 字符1"/>
    <w:qFormat/>
    <w:uiPriority w:val="10"/>
    <w:rPr>
      <w:rFonts w:ascii="Calibri Light" w:hAnsi="Calibri Light" w:eastAsia="宋体" w:cs="Times New Roman"/>
      <w:b/>
      <w:bCs/>
      <w:sz w:val="32"/>
      <w:szCs w:val="32"/>
    </w:rPr>
  </w:style>
  <w:style w:type="character" w:customStyle="1" w:styleId="464">
    <w:name w:val="批注文字 字符1"/>
    <w:semiHidden/>
    <w:qFormat/>
    <w:uiPriority w:val="99"/>
    <w:rPr>
      <w:rFonts w:ascii="Times New Roman" w:hAnsi="Times New Roman" w:eastAsia="宋体" w:cs="Times New Roman"/>
      <w:sz w:val="21"/>
    </w:rPr>
  </w:style>
  <w:style w:type="paragraph" w:customStyle="1" w:styleId="465">
    <w:name w:val="目录 21"/>
    <w:basedOn w:val="1"/>
    <w:next w:val="1"/>
    <w:qFormat/>
    <w:uiPriority w:val="39"/>
    <w:pPr>
      <w:spacing w:line="360" w:lineRule="auto"/>
      <w:ind w:left="210"/>
      <w:jc w:val="left"/>
    </w:pPr>
    <w:rPr>
      <w:rFonts w:ascii="等线" w:eastAsia="等线"/>
      <w:smallCaps/>
      <w:sz w:val="20"/>
    </w:rPr>
  </w:style>
  <w:style w:type="paragraph" w:customStyle="1" w:styleId="466">
    <w:name w:val="目录 41"/>
    <w:basedOn w:val="1"/>
    <w:next w:val="1"/>
    <w:qFormat/>
    <w:uiPriority w:val="39"/>
    <w:pPr>
      <w:spacing w:line="360" w:lineRule="auto"/>
      <w:ind w:left="630"/>
      <w:jc w:val="left"/>
    </w:pPr>
    <w:rPr>
      <w:rFonts w:ascii="等线" w:eastAsia="等线"/>
      <w:sz w:val="18"/>
      <w:szCs w:val="18"/>
    </w:rPr>
  </w:style>
  <w:style w:type="paragraph" w:customStyle="1" w:styleId="467">
    <w:name w:val="目录 31"/>
    <w:basedOn w:val="1"/>
    <w:next w:val="1"/>
    <w:qFormat/>
    <w:uiPriority w:val="39"/>
    <w:pPr>
      <w:spacing w:line="360" w:lineRule="auto"/>
      <w:ind w:left="420"/>
      <w:jc w:val="left"/>
    </w:pPr>
    <w:rPr>
      <w:rFonts w:ascii="等线" w:eastAsia="等线"/>
      <w:i/>
      <w:iCs/>
      <w:sz w:val="20"/>
    </w:rPr>
  </w:style>
  <w:style w:type="paragraph" w:customStyle="1" w:styleId="468">
    <w:name w:val="目录 61"/>
    <w:basedOn w:val="1"/>
    <w:next w:val="1"/>
    <w:qFormat/>
    <w:uiPriority w:val="39"/>
    <w:pPr>
      <w:spacing w:line="360" w:lineRule="auto"/>
      <w:ind w:left="1050"/>
      <w:jc w:val="left"/>
    </w:pPr>
    <w:rPr>
      <w:rFonts w:ascii="等线" w:eastAsia="等线"/>
      <w:sz w:val="18"/>
      <w:szCs w:val="18"/>
    </w:rPr>
  </w:style>
  <w:style w:type="paragraph" w:customStyle="1" w:styleId="469">
    <w:name w:val="目录 11"/>
    <w:basedOn w:val="1"/>
    <w:next w:val="1"/>
    <w:qFormat/>
    <w:uiPriority w:val="39"/>
    <w:pPr>
      <w:spacing w:before="120" w:after="120" w:line="360" w:lineRule="auto"/>
      <w:jc w:val="left"/>
    </w:pPr>
    <w:rPr>
      <w:rFonts w:ascii="等线" w:eastAsia="等线"/>
      <w:b/>
      <w:bCs/>
      <w:caps/>
      <w:sz w:val="20"/>
    </w:rPr>
  </w:style>
  <w:style w:type="paragraph" w:customStyle="1" w:styleId="470">
    <w:name w:val="目录 81"/>
    <w:basedOn w:val="1"/>
    <w:next w:val="1"/>
    <w:qFormat/>
    <w:uiPriority w:val="0"/>
    <w:pPr>
      <w:spacing w:line="360" w:lineRule="auto"/>
      <w:ind w:left="1470"/>
      <w:jc w:val="left"/>
    </w:pPr>
    <w:rPr>
      <w:rFonts w:ascii="等线" w:eastAsia="等线"/>
      <w:sz w:val="18"/>
      <w:szCs w:val="18"/>
    </w:rPr>
  </w:style>
  <w:style w:type="paragraph" w:customStyle="1" w:styleId="471">
    <w:name w:val="表内居中"/>
    <w:basedOn w:val="1"/>
    <w:qFormat/>
    <w:uiPriority w:val="0"/>
    <w:pPr>
      <w:spacing w:line="360" w:lineRule="auto"/>
      <w:textAlignment w:val="center"/>
    </w:pPr>
    <w:rPr>
      <w:rFonts w:ascii="宋体" w:hAnsi="宋体"/>
      <w:b/>
      <w:sz w:val="24"/>
      <w:szCs w:val="21"/>
    </w:rPr>
  </w:style>
  <w:style w:type="paragraph" w:customStyle="1" w:styleId="472">
    <w:name w:val="TOC 标题1"/>
    <w:basedOn w:val="3"/>
    <w:next w:val="1"/>
    <w:qFormat/>
    <w:uiPriority w:val="39"/>
    <w:pPr>
      <w:keepLines/>
      <w:widowControl/>
      <w:tabs>
        <w:tab w:val="left" w:pos="432"/>
        <w:tab w:val="clear" w:pos="1440"/>
        <w:tab w:val="clear" w:pos="5670"/>
      </w:tabs>
      <w:spacing w:before="480" w:beforeLines="0" w:afterLines="0" w:line="276" w:lineRule="auto"/>
      <w:ind w:firstLine="0" w:firstLineChars="0"/>
      <w:jc w:val="center"/>
      <w:outlineLvl w:val="9"/>
    </w:pPr>
    <w:rPr>
      <w:rFonts w:ascii="Cambria" w:hAnsi="Cambria" w:eastAsia="宋体"/>
      <w:bCs/>
      <w:color w:val="365F91"/>
      <w:sz w:val="28"/>
      <w:lang w:val="zh-CN"/>
    </w:rPr>
  </w:style>
  <w:style w:type="paragraph" w:customStyle="1" w:styleId="473">
    <w:name w:val="Blockquote"/>
    <w:basedOn w:val="1"/>
    <w:qFormat/>
    <w:uiPriority w:val="0"/>
    <w:pPr>
      <w:autoSpaceDE w:val="0"/>
      <w:autoSpaceDN w:val="0"/>
      <w:adjustRightInd w:val="0"/>
      <w:spacing w:before="100" w:after="100" w:line="360" w:lineRule="auto"/>
      <w:ind w:left="360" w:right="360"/>
      <w:jc w:val="left"/>
    </w:pPr>
    <w:rPr>
      <w:kern w:val="0"/>
      <w:sz w:val="24"/>
    </w:rPr>
  </w:style>
  <w:style w:type="paragraph" w:customStyle="1" w:styleId="474">
    <w:name w:val="3"/>
    <w:basedOn w:val="1"/>
    <w:next w:val="27"/>
    <w:qFormat/>
    <w:uiPriority w:val="0"/>
    <w:pPr>
      <w:spacing w:line="360" w:lineRule="auto"/>
    </w:pPr>
    <w:rPr>
      <w:rFonts w:ascii="宋体"/>
      <w:sz w:val="24"/>
    </w:rPr>
  </w:style>
  <w:style w:type="paragraph" w:customStyle="1" w:styleId="475">
    <w:name w:val="2"/>
    <w:basedOn w:val="1"/>
    <w:next w:val="30"/>
    <w:qFormat/>
    <w:uiPriority w:val="0"/>
    <w:pPr>
      <w:spacing w:line="360" w:lineRule="auto"/>
      <w:ind w:left="432"/>
    </w:pPr>
    <w:rPr>
      <w:sz w:val="24"/>
    </w:rPr>
  </w:style>
  <w:style w:type="paragraph" w:customStyle="1" w:styleId="476">
    <w:name w:val="样式 标题 1 + 黑体 三号 非加粗 居中 段前: 6 磅 段后: 6 磅 行距: 固定值 20 磅"/>
    <w:basedOn w:val="3"/>
    <w:qFormat/>
    <w:uiPriority w:val="0"/>
    <w:pPr>
      <w:keepLines/>
      <w:tabs>
        <w:tab w:val="left" w:pos="432"/>
        <w:tab w:val="clear" w:pos="1440"/>
        <w:tab w:val="clear" w:pos="5670"/>
      </w:tabs>
      <w:spacing w:before="120" w:beforeLines="0" w:after="120" w:afterLines="0" w:line="400" w:lineRule="exact"/>
      <w:ind w:firstLine="0" w:firstLineChars="0"/>
      <w:jc w:val="center"/>
    </w:pPr>
    <w:rPr>
      <w:rFonts w:hAnsi="黑体" w:cs="宋体"/>
      <w:b w:val="0"/>
      <w:sz w:val="32"/>
      <w:szCs w:val="20"/>
    </w:rPr>
  </w:style>
  <w:style w:type="character" w:customStyle="1" w:styleId="477">
    <w:name w:val="font161"/>
    <w:qFormat/>
    <w:uiPriority w:val="0"/>
    <w:rPr>
      <w:b/>
      <w:bCs/>
      <w:sz w:val="32"/>
      <w:szCs w:val="32"/>
    </w:rPr>
  </w:style>
  <w:style w:type="paragraph" w:customStyle="1" w:styleId="478">
    <w:name w:val="6'"/>
    <w:basedOn w:val="1"/>
    <w:qFormat/>
    <w:uiPriority w:val="0"/>
    <w:pPr>
      <w:autoSpaceDE w:val="0"/>
      <w:autoSpaceDN w:val="0"/>
      <w:adjustRightInd w:val="0"/>
      <w:snapToGrid w:val="0"/>
      <w:spacing w:line="320" w:lineRule="exact"/>
      <w:jc w:val="center"/>
      <w:textAlignment w:val="baseline"/>
    </w:pPr>
    <w:rPr>
      <w:spacing w:val="20"/>
      <w:kern w:val="28"/>
      <w:sz w:val="24"/>
    </w:rPr>
  </w:style>
  <w:style w:type="paragraph" w:customStyle="1" w:styleId="479">
    <w:name w:val="XW正文"/>
    <w:basedOn w:val="30"/>
    <w:qFormat/>
    <w:uiPriority w:val="0"/>
    <w:pPr>
      <w:adjustRightInd w:val="0"/>
      <w:snapToGrid w:val="0"/>
      <w:spacing w:line="300" w:lineRule="auto"/>
      <w:ind w:firstLine="520" w:firstLineChars="200"/>
      <w:jc w:val="left"/>
    </w:pPr>
    <w:rPr>
      <w:rFonts w:ascii="Times New Roman" w:hAnsi="Calibri" w:eastAsia="宋体"/>
      <w:sz w:val="21"/>
      <w:szCs w:val="24"/>
    </w:rPr>
  </w:style>
  <w:style w:type="paragraph" w:customStyle="1" w:styleId="480">
    <w:name w:val="金安桥正文"/>
    <w:basedOn w:val="30"/>
    <w:qFormat/>
    <w:uiPriority w:val="0"/>
    <w:pPr>
      <w:adjustRightInd w:val="0"/>
      <w:spacing w:line="300" w:lineRule="auto"/>
      <w:ind w:firstLine="200" w:firstLineChars="200"/>
      <w:jc w:val="left"/>
    </w:pPr>
    <w:rPr>
      <w:rFonts w:ascii="Times New Roman" w:hAnsi="Calibri" w:eastAsia="宋体"/>
      <w:sz w:val="24"/>
      <w:szCs w:val="24"/>
    </w:rPr>
  </w:style>
  <w:style w:type="character" w:customStyle="1" w:styleId="481">
    <w:name w:val="样式 粉红"/>
    <w:qFormat/>
    <w:uiPriority w:val="0"/>
    <w:rPr>
      <w:color w:val="auto"/>
      <w:u w:val="none"/>
    </w:rPr>
  </w:style>
  <w:style w:type="paragraph" w:customStyle="1" w:styleId="482">
    <w:name w:val="TOC 标题2"/>
    <w:basedOn w:val="3"/>
    <w:next w:val="1"/>
    <w:qFormat/>
    <w:uiPriority w:val="39"/>
    <w:pPr>
      <w:keepLines/>
      <w:widowControl/>
      <w:tabs>
        <w:tab w:val="left" w:pos="432"/>
        <w:tab w:val="clear" w:pos="1440"/>
        <w:tab w:val="clear" w:pos="5670"/>
      </w:tabs>
      <w:spacing w:before="480" w:beforeLines="0" w:afterLines="0" w:line="276" w:lineRule="auto"/>
      <w:ind w:firstLine="0" w:firstLineChars="0"/>
      <w:jc w:val="center"/>
      <w:outlineLvl w:val="9"/>
    </w:pPr>
    <w:rPr>
      <w:rFonts w:ascii="Cambria" w:hAnsi="Cambria" w:eastAsia="宋体"/>
      <w:bCs/>
      <w:color w:val="365F91"/>
      <w:kern w:val="0"/>
      <w:sz w:val="28"/>
    </w:rPr>
  </w:style>
  <w:style w:type="paragraph" w:customStyle="1" w:styleId="483">
    <w:name w:val="p17"/>
    <w:basedOn w:val="1"/>
    <w:qFormat/>
    <w:uiPriority w:val="0"/>
    <w:pPr>
      <w:widowControl/>
      <w:spacing w:line="360" w:lineRule="auto"/>
    </w:pPr>
    <w:rPr>
      <w:kern w:val="0"/>
      <w:sz w:val="24"/>
      <w:szCs w:val="21"/>
    </w:rPr>
  </w:style>
  <w:style w:type="paragraph" w:customStyle="1" w:styleId="484">
    <w:name w:val="Normal_0"/>
    <w:qFormat/>
    <w:uiPriority w:val="0"/>
    <w:pPr>
      <w:spacing w:before="120" w:after="240"/>
      <w:jc w:val="both"/>
    </w:pPr>
    <w:rPr>
      <w:rFonts w:ascii="Calibri" w:hAnsi="Calibri" w:eastAsia="Calibri" w:cs="Times New Roman"/>
      <w:sz w:val="22"/>
      <w:szCs w:val="22"/>
      <w:lang w:val="ru-RU" w:eastAsia="en-US" w:bidi="ar-SA"/>
    </w:rPr>
  </w:style>
  <w:style w:type="character" w:customStyle="1" w:styleId="485">
    <w:name w:val="未处理的提及11"/>
    <w:unhideWhenUsed/>
    <w:qFormat/>
    <w:uiPriority w:val="99"/>
    <w:rPr>
      <w:color w:val="605E5C"/>
      <w:shd w:val="clear" w:color="auto" w:fill="E1DFDD"/>
    </w:rPr>
  </w:style>
  <w:style w:type="character" w:customStyle="1" w:styleId="486">
    <w:name w:val="页脚 字符2"/>
    <w:qFormat/>
    <w:uiPriority w:val="99"/>
    <w:rPr>
      <w:sz w:val="18"/>
    </w:rPr>
  </w:style>
  <w:style w:type="paragraph" w:customStyle="1" w:styleId="487">
    <w:name w:val="xl72"/>
    <w:basedOn w:val="1"/>
    <w:qFormat/>
    <w:uiPriority w:val="0"/>
    <w:pPr>
      <w:widowControl/>
      <w:numPr>
        <w:ilvl w:val="0"/>
        <w:numId w:val="2"/>
      </w:numPr>
      <w:pBdr>
        <w:top w:val="single" w:color="auto" w:sz="4" w:space="0"/>
        <w:left w:val="single" w:color="auto" w:sz="4" w:space="0"/>
        <w:bottom w:val="single" w:color="auto" w:sz="4" w:space="0"/>
        <w:right w:val="single" w:color="auto" w:sz="4" w:space="0"/>
      </w:pBdr>
      <w:spacing w:before="100" w:beforeAutospacing="1" w:after="100" w:afterAutospacing="1" w:line="360" w:lineRule="auto"/>
      <w:ind w:left="0" w:firstLine="0"/>
      <w:jc w:val="center"/>
    </w:pPr>
    <w:rPr>
      <w:rFonts w:ascii="宋体" w:hAnsi="宋体" w:cs="宋体"/>
      <w:b/>
      <w:bCs/>
      <w:kern w:val="0"/>
      <w:sz w:val="20"/>
    </w:rPr>
  </w:style>
  <w:style w:type="paragraph" w:customStyle="1" w:styleId="488">
    <w:name w:val="样式6"/>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480" w:firstLineChars="200"/>
      <w:jc w:val="left"/>
    </w:pPr>
    <w:rPr>
      <w:rFonts w:eastAsia="仿宋_GB2312"/>
      <w:color w:val="000000"/>
      <w:kern w:val="0"/>
      <w:sz w:val="24"/>
    </w:rPr>
  </w:style>
  <w:style w:type="paragraph" w:customStyle="1" w:styleId="489">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90">
    <w:name w:val="rvts9"/>
    <w:qFormat/>
    <w:uiPriority w:val="0"/>
    <w:rPr>
      <w:rFonts w:hint="default" w:ascii="KNLe" w:hAnsi="KNLe"/>
    </w:rPr>
  </w:style>
  <w:style w:type="character" w:customStyle="1" w:styleId="491">
    <w:name w:val="rvts11"/>
    <w:qFormat/>
    <w:uiPriority w:val="0"/>
    <w:rPr>
      <w:rFonts w:hint="default" w:ascii="KNLe" w:hAnsi="KNLe"/>
      <w:u w:val="single"/>
    </w:rPr>
  </w:style>
  <w:style w:type="paragraph" w:customStyle="1" w:styleId="492">
    <w:name w:val="正文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93">
    <w:name w:val="宏文本 Char"/>
    <w:link w:val="2"/>
    <w:qFormat/>
    <w:uiPriority w:val="99"/>
    <w:rPr>
      <w:rFonts w:ascii="Courier New" w:hAnsi="Courier New"/>
      <w:sz w:val="24"/>
      <w:szCs w:val="24"/>
    </w:rPr>
  </w:style>
  <w:style w:type="character" w:customStyle="1" w:styleId="494">
    <w:name w:val="标题 5 Char1"/>
    <w:qFormat/>
    <w:uiPriority w:val="0"/>
    <w:rPr>
      <w:rFonts w:ascii="Times New Roman" w:hAnsi="Times New Roman" w:eastAsia="宋体" w:cs="Times New Roman"/>
      <w:b/>
      <w:kern w:val="0"/>
      <w:sz w:val="28"/>
      <w:szCs w:val="20"/>
    </w:rPr>
  </w:style>
  <w:style w:type="character" w:customStyle="1" w:styleId="495">
    <w:name w:val="注释标题 Char"/>
    <w:link w:val="17"/>
    <w:qFormat/>
    <w:uiPriority w:val="0"/>
    <w:rPr>
      <w:rFonts w:ascii="宋体" w:hAnsi="宋体"/>
      <w:kern w:val="11"/>
      <w:sz w:val="24"/>
      <w:szCs w:val="24"/>
    </w:rPr>
  </w:style>
  <w:style w:type="character" w:customStyle="1" w:styleId="496">
    <w:name w:val="电子邮件签名 Char"/>
    <w:link w:val="18"/>
    <w:qFormat/>
    <w:uiPriority w:val="0"/>
    <w:rPr>
      <w:rFonts w:ascii="宋体" w:hAnsi="宋体"/>
      <w:kern w:val="11"/>
      <w:sz w:val="24"/>
      <w:szCs w:val="24"/>
    </w:rPr>
  </w:style>
  <w:style w:type="character" w:customStyle="1" w:styleId="497">
    <w:name w:val="结束语 Char"/>
    <w:link w:val="28"/>
    <w:uiPriority w:val="0"/>
    <w:rPr>
      <w:rFonts w:ascii="宋体" w:hAnsi="宋体"/>
      <w:kern w:val="11"/>
      <w:sz w:val="24"/>
      <w:szCs w:val="24"/>
    </w:rPr>
  </w:style>
  <w:style w:type="character" w:customStyle="1" w:styleId="498">
    <w:name w:val="HTML 地址 Char"/>
    <w:link w:val="32"/>
    <w:qFormat/>
    <w:uiPriority w:val="0"/>
    <w:rPr>
      <w:rFonts w:ascii="宋体" w:hAnsi="宋体"/>
      <w:i/>
      <w:iCs/>
      <w:kern w:val="11"/>
      <w:sz w:val="24"/>
      <w:szCs w:val="24"/>
    </w:rPr>
  </w:style>
  <w:style w:type="character" w:customStyle="1" w:styleId="499">
    <w:name w:val="信息标题 Char"/>
    <w:link w:val="56"/>
    <w:qFormat/>
    <w:uiPriority w:val="0"/>
    <w:rPr>
      <w:rFonts w:ascii="Cambria" w:hAnsi="Cambria"/>
      <w:kern w:val="11"/>
      <w:sz w:val="24"/>
      <w:szCs w:val="24"/>
      <w:shd w:val="pct20" w:color="auto" w:fill="auto"/>
    </w:rPr>
  </w:style>
  <w:style w:type="character" w:customStyle="1" w:styleId="500">
    <w:name w:val="普通(网站) Char"/>
    <w:link w:val="58"/>
    <w:qFormat/>
    <w:uiPriority w:val="0"/>
    <w:rPr>
      <w:rFonts w:ascii="Arial" w:hAnsi="Arial" w:eastAsia="Arial Unicode MS" w:cs="Arial"/>
      <w:sz w:val="24"/>
      <w:szCs w:val="24"/>
    </w:rPr>
  </w:style>
  <w:style w:type="character" w:customStyle="1" w:styleId="501">
    <w:name w:val="正文文本 字符"/>
    <w:uiPriority w:val="0"/>
  </w:style>
  <w:style w:type="character" w:customStyle="1" w:styleId="502">
    <w:name w:val="注释标题 字符"/>
    <w:semiHidden/>
    <w:uiPriority w:val="99"/>
  </w:style>
  <w:style w:type="character" w:customStyle="1" w:styleId="503">
    <w:name w:val="电子邮件签名 字符"/>
    <w:semiHidden/>
    <w:uiPriority w:val="99"/>
  </w:style>
  <w:style w:type="character" w:customStyle="1" w:styleId="504">
    <w:name w:val="批注文字 字符"/>
    <w:semiHidden/>
    <w:uiPriority w:val="0"/>
  </w:style>
  <w:style w:type="character" w:customStyle="1" w:styleId="505">
    <w:name w:val="称呼 字符"/>
    <w:semiHidden/>
    <w:uiPriority w:val="99"/>
  </w:style>
  <w:style w:type="character" w:customStyle="1" w:styleId="506">
    <w:name w:val="结束语 字符"/>
    <w:semiHidden/>
    <w:qFormat/>
    <w:uiPriority w:val="99"/>
  </w:style>
  <w:style w:type="character" w:customStyle="1" w:styleId="507">
    <w:name w:val="正文文本缩进 字符"/>
    <w:qFormat/>
    <w:uiPriority w:val="0"/>
    <w:rPr>
      <w:rFonts w:ascii="Times New Roman" w:hAnsi="Times New Roman" w:eastAsia="宋体" w:cs="Times New Roman"/>
      <w:kern w:val="0"/>
      <w:sz w:val="20"/>
      <w:szCs w:val="24"/>
    </w:rPr>
  </w:style>
  <w:style w:type="character" w:customStyle="1" w:styleId="508">
    <w:name w:val="日期 字符"/>
    <w:qFormat/>
    <w:uiPriority w:val="0"/>
  </w:style>
  <w:style w:type="character" w:customStyle="1" w:styleId="509">
    <w:name w:val="正文文本缩进 2 字符"/>
    <w:semiHidden/>
    <w:qFormat/>
    <w:uiPriority w:val="99"/>
  </w:style>
  <w:style w:type="character" w:customStyle="1" w:styleId="510">
    <w:name w:val="尾注文本 字符"/>
    <w:semiHidden/>
    <w:qFormat/>
    <w:uiPriority w:val="99"/>
  </w:style>
  <w:style w:type="character" w:customStyle="1" w:styleId="511">
    <w:name w:val="签名 字符"/>
    <w:semiHidden/>
    <w:uiPriority w:val="99"/>
  </w:style>
  <w:style w:type="character" w:customStyle="1" w:styleId="512">
    <w:name w:val="正文文本 2 字符"/>
    <w:semiHidden/>
    <w:qFormat/>
    <w:uiPriority w:val="99"/>
  </w:style>
  <w:style w:type="character" w:customStyle="1" w:styleId="513">
    <w:name w:val="正文文本首行缩进 字符"/>
    <w:semiHidden/>
    <w:qFormat/>
    <w:uiPriority w:val="99"/>
  </w:style>
  <w:style w:type="character" w:customStyle="1" w:styleId="514">
    <w:name w:val="宏文本 Char1"/>
    <w:semiHidden/>
    <w:uiPriority w:val="99"/>
    <w:rPr>
      <w:rFonts w:ascii="Courier New" w:hAnsi="Courier New" w:eastAsia="宋体" w:cs="Courier New"/>
      <w:sz w:val="24"/>
      <w:szCs w:val="24"/>
    </w:rPr>
  </w:style>
  <w:style w:type="character" w:customStyle="1" w:styleId="515">
    <w:name w:val="正文文本 3 Char1"/>
    <w:semiHidden/>
    <w:qFormat/>
    <w:uiPriority w:val="99"/>
    <w:rPr>
      <w:sz w:val="16"/>
      <w:szCs w:val="16"/>
    </w:rPr>
  </w:style>
  <w:style w:type="character" w:customStyle="1" w:styleId="516">
    <w:name w:val="HTML 地址 Char1"/>
    <w:semiHidden/>
    <w:uiPriority w:val="99"/>
    <w:rPr>
      <w:i/>
      <w:iCs/>
    </w:rPr>
  </w:style>
  <w:style w:type="character" w:customStyle="1" w:styleId="517">
    <w:name w:val="批注框文本 Char1"/>
    <w:qFormat/>
    <w:uiPriority w:val="0"/>
    <w:rPr>
      <w:sz w:val="18"/>
      <w:szCs w:val="18"/>
    </w:rPr>
  </w:style>
  <w:style w:type="character" w:customStyle="1" w:styleId="518">
    <w:name w:val="副标题 Char1"/>
    <w:uiPriority w:val="11"/>
    <w:rPr>
      <w:rFonts w:ascii="Cambria" w:hAnsi="Cambria" w:eastAsia="宋体" w:cs="Times New Roman"/>
      <w:b/>
      <w:bCs/>
      <w:kern w:val="28"/>
      <w:sz w:val="32"/>
      <w:szCs w:val="32"/>
    </w:rPr>
  </w:style>
  <w:style w:type="character" w:customStyle="1" w:styleId="519">
    <w:name w:val="脚注文本 Char1"/>
    <w:semiHidden/>
    <w:qFormat/>
    <w:uiPriority w:val="99"/>
    <w:rPr>
      <w:sz w:val="18"/>
      <w:szCs w:val="18"/>
    </w:rPr>
  </w:style>
  <w:style w:type="character" w:customStyle="1" w:styleId="520">
    <w:name w:val="信息标题 Char1"/>
    <w:semiHidden/>
    <w:qFormat/>
    <w:uiPriority w:val="99"/>
    <w:rPr>
      <w:rFonts w:ascii="Cambria" w:hAnsi="Cambria" w:eastAsia="宋体" w:cs="Times New Roman"/>
      <w:sz w:val="24"/>
      <w:szCs w:val="24"/>
      <w:shd w:val="pct20" w:color="auto" w:fill="auto"/>
    </w:rPr>
  </w:style>
  <w:style w:type="character" w:customStyle="1" w:styleId="521">
    <w:name w:val="表格 Char"/>
    <w:link w:val="408"/>
    <w:qFormat/>
    <w:uiPriority w:val="0"/>
    <w:rPr>
      <w:rFonts w:ascii="宋体" w:hAnsi="宋体" w:cs="宋体"/>
    </w:rPr>
  </w:style>
  <w:style w:type="character" w:customStyle="1" w:styleId="522">
    <w:name w:val="ꌢ 2 Char"/>
    <w:link w:val="523"/>
    <w:qFormat/>
    <w:uiPriority w:val="0"/>
    <w:rPr>
      <w:rFonts w:ascii="Arial" w:hAnsi="Arial"/>
      <w:b/>
      <w:bCs/>
    </w:rPr>
  </w:style>
  <w:style w:type="paragraph" w:customStyle="1" w:styleId="523">
    <w:name w:val="ꌢ 2"/>
    <w:basedOn w:val="1"/>
    <w:link w:val="522"/>
    <w:qFormat/>
    <w:uiPriority w:val="0"/>
    <w:pPr>
      <w:widowControl/>
    </w:pPr>
    <w:rPr>
      <w:rFonts w:ascii="Arial" w:hAnsi="Arial"/>
      <w:b/>
      <w:bCs/>
      <w:kern w:val="0"/>
      <w:sz w:val="20"/>
    </w:rPr>
  </w:style>
  <w:style w:type="character" w:customStyle="1" w:styleId="524">
    <w:name w:val="GW-标题3 Char"/>
    <w:link w:val="525"/>
    <w:qFormat/>
    <w:uiPriority w:val="0"/>
    <w:rPr>
      <w:rFonts w:ascii="仿宋_GB2312" w:hAnsi="Calibri" w:eastAsia="仿宋_GB2312"/>
      <w:b/>
      <w:bCs/>
      <w:kern w:val="44"/>
      <w:sz w:val="32"/>
    </w:rPr>
  </w:style>
  <w:style w:type="paragraph" w:customStyle="1" w:styleId="525">
    <w:name w:val="GW-标题3"/>
    <w:basedOn w:val="526"/>
    <w:next w:val="1"/>
    <w:link w:val="524"/>
    <w:qFormat/>
    <w:uiPriority w:val="0"/>
    <w:pPr>
      <w:spacing w:beforeLines="50" w:afterLines="50"/>
      <w:ind w:left="420" w:hanging="420"/>
      <w:outlineLvl w:val="2"/>
    </w:pPr>
    <w:rPr>
      <w:rFonts w:ascii="仿宋_GB2312"/>
      <w:sz w:val="32"/>
      <w:szCs w:val="20"/>
    </w:rPr>
  </w:style>
  <w:style w:type="paragraph" w:customStyle="1" w:styleId="526">
    <w:name w:val="GW-标题2"/>
    <w:basedOn w:val="527"/>
    <w:next w:val="1"/>
    <w:qFormat/>
    <w:uiPriority w:val="0"/>
    <w:pPr>
      <w:pageBreakBefore w:val="0"/>
      <w:ind w:left="632" w:hanging="632"/>
      <w:outlineLvl w:val="1"/>
    </w:pPr>
    <w:rPr>
      <w:sz w:val="36"/>
    </w:rPr>
  </w:style>
  <w:style w:type="paragraph" w:customStyle="1" w:styleId="527">
    <w:name w:val="GW-标题1"/>
    <w:basedOn w:val="3"/>
    <w:next w:val="1"/>
    <w:qFormat/>
    <w:uiPriority w:val="0"/>
    <w:pPr>
      <w:keepLines/>
      <w:pageBreakBefore/>
      <w:tabs>
        <w:tab w:val="clear" w:pos="1440"/>
        <w:tab w:val="clear" w:pos="5670"/>
      </w:tabs>
      <w:spacing w:line="360" w:lineRule="auto"/>
      <w:ind w:left="420" w:firstLine="0" w:firstLineChars="0"/>
    </w:pPr>
    <w:rPr>
      <w:rFonts w:ascii="Calibri" w:hAnsi="Calibri" w:eastAsia="仿宋_GB2312"/>
      <w:bCs/>
      <w:sz w:val="44"/>
      <w:szCs w:val="44"/>
    </w:rPr>
  </w:style>
  <w:style w:type="character" w:customStyle="1" w:styleId="528">
    <w:name w:val="彩色列表字符"/>
    <w:link w:val="529"/>
    <w:qFormat/>
    <w:locked/>
    <w:uiPriority w:val="34"/>
    <w:rPr>
      <w:rFonts w:ascii="Calibri" w:hAnsi="Calibri"/>
    </w:rPr>
  </w:style>
  <w:style w:type="paragraph" w:customStyle="1" w:styleId="529">
    <w:name w:val="彩色列表1"/>
    <w:basedOn w:val="1"/>
    <w:link w:val="528"/>
    <w:qFormat/>
    <w:uiPriority w:val="34"/>
    <w:pPr>
      <w:spacing w:line="360" w:lineRule="auto"/>
      <w:ind w:firstLine="420" w:firstLineChars="200"/>
      <w:contextualSpacing/>
    </w:pPr>
    <w:rPr>
      <w:rFonts w:ascii="Calibri" w:hAnsi="Calibri"/>
      <w:kern w:val="0"/>
      <w:sz w:val="20"/>
    </w:rPr>
  </w:style>
  <w:style w:type="character" w:customStyle="1" w:styleId="530">
    <w:name w:val="Intense Quote Char Char"/>
    <w:link w:val="531"/>
    <w:qFormat/>
    <w:locked/>
    <w:uiPriority w:val="0"/>
    <w:rPr>
      <w:b/>
      <w:bCs/>
      <w:i/>
      <w:iCs/>
      <w:color w:val="4F81BD"/>
      <w:szCs w:val="24"/>
    </w:rPr>
  </w:style>
  <w:style w:type="paragraph" w:customStyle="1" w:styleId="531">
    <w:name w:val="明显引用1"/>
    <w:basedOn w:val="1"/>
    <w:next w:val="1"/>
    <w:link w:val="530"/>
    <w:qFormat/>
    <w:uiPriority w:val="0"/>
    <w:pPr>
      <w:pBdr>
        <w:bottom w:val="single" w:color="4F81BD" w:sz="4" w:space="4"/>
      </w:pBdr>
      <w:spacing w:before="200" w:after="280"/>
      <w:ind w:left="936" w:right="936"/>
    </w:pPr>
    <w:rPr>
      <w:b/>
      <w:bCs/>
      <w:i/>
      <w:iCs/>
      <w:color w:val="4F81BD"/>
      <w:kern w:val="0"/>
      <w:sz w:val="20"/>
      <w:szCs w:val="24"/>
    </w:rPr>
  </w:style>
  <w:style w:type="character" w:customStyle="1" w:styleId="532">
    <w:name w:val="Normal - Small Char"/>
    <w:link w:val="533"/>
    <w:qFormat/>
    <w:uiPriority w:val="0"/>
    <w:rPr>
      <w:bCs/>
      <w:snapToGrid w:val="0"/>
      <w:lang w:val="en-GB" w:eastAsia="zh-TW"/>
    </w:rPr>
  </w:style>
  <w:style w:type="paragraph" w:customStyle="1" w:styleId="533">
    <w:name w:val="Normal - Small"/>
    <w:basedOn w:val="1"/>
    <w:link w:val="532"/>
    <w:qFormat/>
    <w:uiPriority w:val="0"/>
    <w:pPr>
      <w:adjustRightInd w:val="0"/>
      <w:snapToGrid w:val="0"/>
      <w:jc w:val="left"/>
    </w:pPr>
    <w:rPr>
      <w:bCs/>
      <w:snapToGrid w:val="0"/>
      <w:kern w:val="0"/>
      <w:sz w:val="20"/>
      <w:lang w:val="en-GB" w:eastAsia="zh-TW"/>
    </w:rPr>
  </w:style>
  <w:style w:type="character" w:customStyle="1" w:styleId="534">
    <w:name w:val="三级标题 Char"/>
    <w:link w:val="535"/>
    <w:qFormat/>
    <w:uiPriority w:val="0"/>
    <w:rPr>
      <w:b/>
      <w:sz w:val="28"/>
      <w:szCs w:val="21"/>
    </w:rPr>
  </w:style>
  <w:style w:type="paragraph" w:customStyle="1" w:styleId="535">
    <w:name w:val="三级标题"/>
    <w:basedOn w:val="7"/>
    <w:link w:val="534"/>
    <w:qFormat/>
    <w:uiPriority w:val="0"/>
    <w:pPr>
      <w:spacing w:before="0" w:after="0" w:line="360" w:lineRule="auto"/>
      <w:contextualSpacing/>
      <w:jc w:val="left"/>
    </w:pPr>
    <w:rPr>
      <w:rFonts w:ascii="Times New Roman" w:hAnsi="Times New Roman" w:eastAsia="宋体"/>
      <w:szCs w:val="21"/>
    </w:rPr>
  </w:style>
  <w:style w:type="character" w:customStyle="1" w:styleId="536">
    <w:name w:val="引用 Char2"/>
    <w:qFormat/>
    <w:uiPriority w:val="29"/>
    <w:rPr>
      <w:rFonts w:ascii="Calibri" w:hAnsi="Calibri" w:eastAsia="宋体" w:cs="Times New Roman"/>
      <w:i/>
      <w:iCs/>
      <w:color w:val="000000"/>
    </w:rPr>
  </w:style>
  <w:style w:type="character" w:customStyle="1" w:styleId="537">
    <w:name w:val="MM Title Char"/>
    <w:link w:val="538"/>
    <w:qFormat/>
    <w:uiPriority w:val="0"/>
    <w:rPr>
      <w:rFonts w:ascii="Cambria" w:hAnsi="Cambria"/>
      <w:b/>
      <w:bCs/>
      <w:sz w:val="32"/>
      <w:szCs w:val="32"/>
    </w:rPr>
  </w:style>
  <w:style w:type="paragraph" w:customStyle="1" w:styleId="538">
    <w:name w:val="MM Title"/>
    <w:basedOn w:val="60"/>
    <w:link w:val="537"/>
    <w:qFormat/>
    <w:uiPriority w:val="0"/>
    <w:pPr>
      <w:widowControl w:val="0"/>
      <w:overflowPunct/>
      <w:autoSpaceDE/>
      <w:autoSpaceDN/>
      <w:adjustRightInd/>
      <w:spacing w:before="240" w:after="60" w:line="360" w:lineRule="auto"/>
      <w:contextualSpacing/>
      <w:textAlignment w:val="auto"/>
      <w:outlineLvl w:val="0"/>
    </w:pPr>
    <w:rPr>
      <w:rFonts w:ascii="Cambria" w:hAnsi="Cambria" w:eastAsia="宋体"/>
      <w:bCs/>
      <w:sz w:val="32"/>
      <w:szCs w:val="32"/>
      <w:lang w:val="en-US"/>
    </w:rPr>
  </w:style>
  <w:style w:type="character" w:customStyle="1" w:styleId="539">
    <w:name w:val="编号，小四 Char"/>
    <w:link w:val="540"/>
    <w:qFormat/>
    <w:uiPriority w:val="0"/>
    <w:rPr>
      <w:rFonts w:ascii="Arial" w:hAnsi="Arial"/>
      <w:sz w:val="24"/>
    </w:rPr>
  </w:style>
  <w:style w:type="paragraph" w:customStyle="1" w:styleId="540">
    <w:name w:val="编号，小四"/>
    <w:basedOn w:val="1"/>
    <w:link w:val="539"/>
    <w:qFormat/>
    <w:uiPriority w:val="0"/>
    <w:pPr>
      <w:spacing w:line="360" w:lineRule="auto"/>
      <w:ind w:left="420"/>
    </w:pPr>
    <w:rPr>
      <w:rFonts w:ascii="Arial" w:hAnsi="Arial"/>
      <w:kern w:val="0"/>
      <w:sz w:val="24"/>
    </w:rPr>
  </w:style>
  <w:style w:type="character" w:customStyle="1" w:styleId="541">
    <w:name w:val="ҳŻ"/>
    <w:link w:val="542"/>
    <w:qFormat/>
    <w:uiPriority w:val="0"/>
    <w:rPr>
      <w:rFonts w:ascii="宋体" w:hAnsi="宋体"/>
      <w:sz w:val="32"/>
      <w:szCs w:val="32"/>
    </w:rPr>
  </w:style>
  <w:style w:type="paragraph" w:customStyle="1" w:styleId="542">
    <w:name w:val="ҳŠChar1"/>
    <w:basedOn w:val="1"/>
    <w:link w:val="541"/>
    <w:qFormat/>
    <w:uiPriority w:val="0"/>
    <w:pPr>
      <w:keepNext/>
      <w:widowControl/>
      <w:spacing w:before="100" w:beforeAutospacing="1" w:after="120" w:line="400" w:lineRule="atLeast"/>
      <w:jc w:val="center"/>
    </w:pPr>
    <w:rPr>
      <w:rFonts w:ascii="宋体" w:hAnsi="宋体"/>
      <w:kern w:val="0"/>
      <w:sz w:val="32"/>
      <w:szCs w:val="32"/>
    </w:rPr>
  </w:style>
  <w:style w:type="character" w:customStyle="1" w:styleId="543">
    <w:name w:val="zj-122 Char Char"/>
    <w:link w:val="544"/>
    <w:qFormat/>
    <w:uiPriority w:val="0"/>
    <w:rPr>
      <w:rFonts w:ascii="Cambria" w:hAnsi="Cambria"/>
      <w:iCs/>
      <w:szCs w:val="21"/>
      <w:lang w:bidi="en-US"/>
    </w:rPr>
  </w:style>
  <w:style w:type="paragraph" w:customStyle="1" w:styleId="544">
    <w:name w:val="zj-122"/>
    <w:basedOn w:val="161"/>
    <w:link w:val="543"/>
    <w:qFormat/>
    <w:uiPriority w:val="0"/>
    <w:pPr>
      <w:widowControl/>
      <w:jc w:val="left"/>
    </w:pPr>
    <w:rPr>
      <w:rFonts w:ascii="Cambria" w:hAnsi="Cambria" w:eastAsia="宋体"/>
      <w:iCs/>
      <w:kern w:val="0"/>
      <w:sz w:val="20"/>
      <w:szCs w:val="21"/>
      <w:lang w:bidi="en-US"/>
    </w:rPr>
  </w:style>
  <w:style w:type="character" w:customStyle="1" w:styleId="545">
    <w:name w:val="大标题２ Char"/>
    <w:link w:val="546"/>
    <w:qFormat/>
    <w:uiPriority w:val="0"/>
    <w:rPr>
      <w:sz w:val="24"/>
    </w:rPr>
  </w:style>
  <w:style w:type="paragraph" w:customStyle="1" w:styleId="546">
    <w:name w:val="大标题２"/>
    <w:basedOn w:val="1"/>
    <w:link w:val="545"/>
    <w:qFormat/>
    <w:uiPriority w:val="0"/>
    <w:pPr>
      <w:spacing w:before="100" w:beforeAutospacing="1" w:after="100" w:afterAutospacing="1" w:line="360" w:lineRule="auto"/>
      <w:ind w:left="420" w:firstLine="480"/>
    </w:pPr>
    <w:rPr>
      <w:kern w:val="0"/>
      <w:sz w:val="24"/>
    </w:rPr>
  </w:style>
  <w:style w:type="character" w:customStyle="1" w:styleId="547">
    <w:name w:val="标书样式 Char Char"/>
    <w:link w:val="548"/>
    <w:qFormat/>
    <w:uiPriority w:val="0"/>
    <w:rPr>
      <w:rFonts w:ascii="Tahoma" w:hAnsi="Tahoma" w:eastAsia="仿宋_GB2312"/>
      <w:sz w:val="24"/>
      <w:szCs w:val="24"/>
    </w:rPr>
  </w:style>
  <w:style w:type="paragraph" w:customStyle="1" w:styleId="548">
    <w:name w:val="标书样式"/>
    <w:basedOn w:val="1"/>
    <w:link w:val="547"/>
    <w:qFormat/>
    <w:uiPriority w:val="0"/>
    <w:pPr>
      <w:spacing w:before="100" w:beforeAutospacing="1" w:after="100" w:afterAutospacing="1" w:line="360" w:lineRule="auto"/>
      <w:ind w:firstLine="480" w:firstLineChars="200"/>
    </w:pPr>
    <w:rPr>
      <w:rFonts w:ascii="Tahoma" w:hAnsi="Tahoma" w:eastAsia="仿宋_GB2312"/>
      <w:kern w:val="0"/>
      <w:sz w:val="24"/>
      <w:szCs w:val="24"/>
    </w:rPr>
  </w:style>
  <w:style w:type="character" w:customStyle="1" w:styleId="549">
    <w:name w:val="大标题１ Char Char"/>
    <w:link w:val="550"/>
    <w:qFormat/>
    <w:uiPriority w:val="0"/>
    <w:rPr>
      <w:rFonts w:eastAsia="黑体"/>
      <w:sz w:val="28"/>
    </w:rPr>
  </w:style>
  <w:style w:type="paragraph" w:customStyle="1" w:styleId="550">
    <w:name w:val="大标题１"/>
    <w:basedOn w:val="1"/>
    <w:link w:val="549"/>
    <w:qFormat/>
    <w:uiPriority w:val="0"/>
    <w:pPr>
      <w:tabs>
        <w:tab w:val="left" w:pos="600"/>
      </w:tabs>
      <w:spacing w:before="100" w:beforeAutospacing="1" w:after="100" w:afterAutospacing="1" w:line="360" w:lineRule="auto"/>
    </w:pPr>
    <w:rPr>
      <w:rFonts w:eastAsia="黑体"/>
      <w:kern w:val="0"/>
      <w:sz w:val="28"/>
    </w:rPr>
  </w:style>
  <w:style w:type="character" w:customStyle="1" w:styleId="551">
    <w:name w:val="标题5 Char Char"/>
    <w:link w:val="552"/>
    <w:qFormat/>
    <w:uiPriority w:val="0"/>
    <w:rPr>
      <w:rFonts w:ascii="Arial" w:hAnsi="Arial"/>
      <w:b/>
      <w:bCs/>
      <w:sz w:val="24"/>
      <w:szCs w:val="32"/>
    </w:rPr>
  </w:style>
  <w:style w:type="paragraph" w:customStyle="1" w:styleId="552">
    <w:name w:val="标题5"/>
    <w:basedOn w:val="6"/>
    <w:link w:val="551"/>
    <w:qFormat/>
    <w:uiPriority w:val="0"/>
    <w:pPr>
      <w:shd w:val="clear" w:color="auto" w:fill="auto"/>
      <w:wordWrap/>
      <w:spacing w:before="260" w:after="260" w:line="413" w:lineRule="auto"/>
    </w:pPr>
    <w:rPr>
      <w:rFonts w:ascii="Arial" w:hAnsi="Arial"/>
      <w:bCs/>
      <w:sz w:val="24"/>
      <w:szCs w:val="32"/>
    </w:rPr>
  </w:style>
  <w:style w:type="character" w:customStyle="1" w:styleId="553">
    <w:name w:val="zj-3 Char Char"/>
    <w:link w:val="554"/>
    <w:qFormat/>
    <w:uiPriority w:val="0"/>
    <w:rPr>
      <w:rFonts w:ascii="Cambria" w:hAnsi="Cambria"/>
      <w:sz w:val="24"/>
      <w:szCs w:val="24"/>
      <w:lang w:bidi="en-US"/>
    </w:rPr>
  </w:style>
  <w:style w:type="paragraph" w:customStyle="1" w:styleId="554">
    <w:name w:val="zj-3"/>
    <w:basedOn w:val="1"/>
    <w:link w:val="553"/>
    <w:qFormat/>
    <w:uiPriority w:val="0"/>
    <w:pPr>
      <w:widowControl/>
      <w:spacing w:beforeLines="50" w:beforeAutospacing="1" w:afterLines="50" w:afterAutospacing="1" w:line="252" w:lineRule="auto"/>
      <w:ind w:firstLine="420"/>
      <w:jc w:val="left"/>
    </w:pPr>
    <w:rPr>
      <w:rFonts w:ascii="Cambria" w:hAnsi="Cambria"/>
      <w:kern w:val="0"/>
      <w:sz w:val="24"/>
      <w:szCs w:val="24"/>
      <w:lang w:bidi="en-US"/>
    </w:rPr>
  </w:style>
  <w:style w:type="character" w:customStyle="1" w:styleId="555">
    <w:name w:val="*正文 Char"/>
    <w:link w:val="556"/>
    <w:qFormat/>
    <w:uiPriority w:val="0"/>
    <w:rPr>
      <w:rFonts w:ascii="宋体" w:hAnsi="宋体"/>
      <w:sz w:val="24"/>
      <w:szCs w:val="24"/>
    </w:rPr>
  </w:style>
  <w:style w:type="paragraph" w:customStyle="1" w:styleId="556">
    <w:name w:val="*正文"/>
    <w:basedOn w:val="1"/>
    <w:link w:val="555"/>
    <w:qFormat/>
    <w:uiPriority w:val="0"/>
    <w:pPr>
      <w:spacing w:line="360" w:lineRule="auto"/>
      <w:ind w:firstLine="200" w:firstLineChars="200"/>
    </w:pPr>
    <w:rPr>
      <w:rFonts w:ascii="宋体" w:hAnsi="宋体"/>
      <w:kern w:val="0"/>
      <w:sz w:val="24"/>
      <w:szCs w:val="24"/>
    </w:rPr>
  </w:style>
  <w:style w:type="character" w:customStyle="1" w:styleId="557">
    <w:name w:val="ꌢ 3 Char"/>
    <w:link w:val="558"/>
    <w:qFormat/>
    <w:uiPriority w:val="0"/>
    <w:rPr>
      <w:rFonts w:ascii="Ђˎ̥" w:hAnsi="Ђˎ̥"/>
      <w:b/>
      <w:bCs/>
    </w:rPr>
  </w:style>
  <w:style w:type="paragraph" w:customStyle="1" w:styleId="558">
    <w:name w:val="ꌢ 3"/>
    <w:basedOn w:val="1"/>
    <w:link w:val="557"/>
    <w:qFormat/>
    <w:uiPriority w:val="0"/>
    <w:pPr>
      <w:widowControl/>
    </w:pPr>
    <w:rPr>
      <w:rFonts w:ascii="Ђˎ̥" w:hAnsi="Ђˎ̥"/>
      <w:b/>
      <w:bCs/>
      <w:kern w:val="0"/>
      <w:sz w:val="20"/>
    </w:rPr>
  </w:style>
  <w:style w:type="character" w:customStyle="1" w:styleId="559">
    <w:name w:val="Quote Char Char"/>
    <w:link w:val="45"/>
    <w:qFormat/>
    <w:locked/>
    <w:uiPriority w:val="0"/>
    <w:rPr>
      <w:i/>
      <w:iCs/>
      <w:color w:val="404040"/>
      <w:kern w:val="2"/>
      <w:sz w:val="21"/>
      <w:szCs w:val="21"/>
    </w:rPr>
  </w:style>
  <w:style w:type="character" w:customStyle="1" w:styleId="560">
    <w:name w:val="zj-4 Char Char"/>
    <w:link w:val="561"/>
    <w:qFormat/>
    <w:uiPriority w:val="0"/>
    <w:rPr>
      <w:rFonts w:ascii="Cambria" w:hAnsi="Cambria"/>
      <w:sz w:val="24"/>
      <w:szCs w:val="24"/>
      <w:lang w:bidi="en-US"/>
    </w:rPr>
  </w:style>
  <w:style w:type="paragraph" w:customStyle="1" w:styleId="561">
    <w:name w:val="zj-4"/>
    <w:basedOn w:val="554"/>
    <w:link w:val="560"/>
    <w:qFormat/>
    <w:uiPriority w:val="0"/>
    <w:pPr>
      <w:tabs>
        <w:tab w:val="left" w:pos="900"/>
      </w:tabs>
      <w:spacing w:beforeLines="100"/>
      <w:ind w:left="900" w:hanging="420"/>
    </w:pPr>
  </w:style>
  <w:style w:type="character" w:customStyle="1" w:styleId="562">
    <w:name w:val="标题4 Char Char"/>
    <w:link w:val="563"/>
    <w:qFormat/>
    <w:uiPriority w:val="0"/>
    <w:rPr>
      <w:rFonts w:ascii="Arial" w:hAnsi="Arial"/>
      <w:b/>
      <w:bCs/>
      <w:sz w:val="24"/>
      <w:szCs w:val="32"/>
    </w:rPr>
  </w:style>
  <w:style w:type="paragraph" w:customStyle="1" w:styleId="563">
    <w:name w:val="标题4"/>
    <w:basedOn w:val="4"/>
    <w:next w:val="33"/>
    <w:link w:val="562"/>
    <w:qFormat/>
    <w:uiPriority w:val="0"/>
    <w:pPr>
      <w:spacing w:before="260" w:after="260" w:line="413" w:lineRule="auto"/>
      <w:jc w:val="both"/>
    </w:pPr>
    <w:rPr>
      <w:rFonts w:ascii="Arial" w:hAnsi="Arial"/>
      <w:bCs/>
      <w:sz w:val="24"/>
      <w:szCs w:val="32"/>
    </w:rPr>
  </w:style>
  <w:style w:type="character" w:customStyle="1" w:styleId="564">
    <w:name w:val="正文首缩两字 Char Char"/>
    <w:link w:val="565"/>
    <w:qFormat/>
    <w:uiPriority w:val="0"/>
    <w:rPr>
      <w:rFonts w:ascii="Verdana" w:hAnsi="Verdana"/>
      <w:sz w:val="24"/>
      <w:szCs w:val="24"/>
    </w:rPr>
  </w:style>
  <w:style w:type="paragraph" w:customStyle="1" w:styleId="565">
    <w:name w:val="正文首缩两字"/>
    <w:basedOn w:val="1"/>
    <w:link w:val="564"/>
    <w:qFormat/>
    <w:uiPriority w:val="0"/>
    <w:pPr>
      <w:spacing w:line="360" w:lineRule="auto"/>
      <w:ind w:firstLine="200" w:firstLineChars="200"/>
    </w:pPr>
    <w:rPr>
      <w:rFonts w:ascii="Verdana" w:hAnsi="Verdana"/>
      <w:kern w:val="0"/>
      <w:sz w:val="24"/>
      <w:szCs w:val="24"/>
    </w:rPr>
  </w:style>
  <w:style w:type="character" w:customStyle="1" w:styleId="566">
    <w:name w:val="标书正文格式 Char1"/>
    <w:link w:val="567"/>
    <w:qFormat/>
    <w:uiPriority w:val="0"/>
    <w:rPr>
      <w:rFonts w:ascii="Arial" w:hAnsi="Arial" w:eastAsia="Times New Roman"/>
      <w:kern w:val="2"/>
      <w:sz w:val="21"/>
      <w:szCs w:val="22"/>
    </w:rPr>
  </w:style>
  <w:style w:type="paragraph" w:customStyle="1" w:styleId="567">
    <w:name w:val="标书正文格式"/>
    <w:link w:val="566"/>
    <w:qFormat/>
    <w:uiPriority w:val="0"/>
    <w:pPr>
      <w:ind w:firstLine="200" w:firstLineChars="200"/>
    </w:pPr>
    <w:rPr>
      <w:rFonts w:ascii="Arial" w:hAnsi="Arial" w:eastAsia="Times New Roman" w:cs="Times New Roman"/>
      <w:kern w:val="2"/>
      <w:sz w:val="21"/>
      <w:szCs w:val="22"/>
      <w:lang w:val="en-US" w:eastAsia="zh-CN" w:bidi="ar-SA"/>
    </w:rPr>
  </w:style>
  <w:style w:type="character" w:customStyle="1" w:styleId="568">
    <w:name w:val="方案正文 Char Char"/>
    <w:link w:val="281"/>
    <w:qFormat/>
    <w:uiPriority w:val="0"/>
    <w:rPr>
      <w:rFonts w:ascii="Arial" w:hAnsi="Arial" w:cs="宋体"/>
      <w:kern w:val="2"/>
      <w:sz w:val="24"/>
      <w:szCs w:val="21"/>
    </w:rPr>
  </w:style>
  <w:style w:type="character" w:customStyle="1" w:styleId="569">
    <w:name w:val="Char Char16"/>
    <w:link w:val="570"/>
    <w:qFormat/>
    <w:locked/>
    <w:uiPriority w:val="0"/>
    <w:rPr>
      <w:szCs w:val="24"/>
    </w:rPr>
  </w:style>
  <w:style w:type="paragraph" w:customStyle="1" w:styleId="570">
    <w:name w:val="Char2"/>
    <w:basedOn w:val="1"/>
    <w:link w:val="569"/>
    <w:qFormat/>
    <w:uiPriority w:val="0"/>
    <w:rPr>
      <w:kern w:val="0"/>
      <w:sz w:val="20"/>
      <w:szCs w:val="24"/>
    </w:rPr>
  </w:style>
  <w:style w:type="paragraph" w:customStyle="1" w:styleId="571">
    <w:name w:val="Char21"/>
    <w:basedOn w:val="1"/>
    <w:qFormat/>
    <w:uiPriority w:val="99"/>
    <w:rPr>
      <w:rFonts w:ascii="Tahoma" w:hAnsi="Tahoma"/>
      <w:kern w:val="0"/>
      <w:sz w:val="24"/>
    </w:rPr>
  </w:style>
  <w:style w:type="paragraph" w:customStyle="1" w:styleId="572">
    <w:name w:val="GW-标题8"/>
    <w:basedOn w:val="573"/>
    <w:qFormat/>
    <w:uiPriority w:val="0"/>
    <w:pPr>
      <w:tabs>
        <w:tab w:val="left" w:pos="360"/>
        <w:tab w:val="left" w:pos="3000"/>
        <w:tab w:val="left" w:pos="3420"/>
        <w:tab w:val="left" w:pos="3840"/>
      </w:tabs>
      <w:ind w:left="3840"/>
    </w:pPr>
    <w:rPr>
      <w:b w:val="0"/>
    </w:rPr>
  </w:style>
  <w:style w:type="paragraph" w:customStyle="1" w:styleId="573">
    <w:name w:val="GW-标题7"/>
    <w:basedOn w:val="574"/>
    <w:next w:val="1"/>
    <w:qFormat/>
    <w:uiPriority w:val="0"/>
    <w:pPr>
      <w:tabs>
        <w:tab w:val="left" w:pos="360"/>
        <w:tab w:val="left" w:pos="3000"/>
        <w:tab w:val="left" w:pos="3420"/>
      </w:tabs>
      <w:ind w:left="3420"/>
      <w:outlineLvl w:val="6"/>
    </w:pPr>
    <w:rPr>
      <w:sz w:val="21"/>
    </w:rPr>
  </w:style>
  <w:style w:type="paragraph" w:customStyle="1" w:styleId="574">
    <w:name w:val="GW-标题6"/>
    <w:basedOn w:val="575"/>
    <w:next w:val="1"/>
    <w:qFormat/>
    <w:uiPriority w:val="0"/>
    <w:pPr>
      <w:tabs>
        <w:tab w:val="left" w:pos="360"/>
        <w:tab w:val="left" w:pos="3000"/>
      </w:tabs>
      <w:ind w:left="3000"/>
      <w:outlineLvl w:val="5"/>
    </w:pPr>
    <w:rPr>
      <w:sz w:val="24"/>
    </w:rPr>
  </w:style>
  <w:style w:type="paragraph" w:customStyle="1" w:styleId="575">
    <w:name w:val="GW-标题5"/>
    <w:basedOn w:val="576"/>
    <w:next w:val="1"/>
    <w:qFormat/>
    <w:uiPriority w:val="0"/>
    <w:pPr>
      <w:tabs>
        <w:tab w:val="left" w:pos="360"/>
      </w:tabs>
      <w:ind w:left="0" w:firstLine="0"/>
      <w:outlineLvl w:val="4"/>
    </w:pPr>
    <w:rPr>
      <w:sz w:val="28"/>
    </w:rPr>
  </w:style>
  <w:style w:type="paragraph" w:customStyle="1" w:styleId="576">
    <w:name w:val="GW-标题4"/>
    <w:basedOn w:val="525"/>
    <w:next w:val="1"/>
    <w:qFormat/>
    <w:uiPriority w:val="0"/>
    <w:pPr>
      <w:tabs>
        <w:tab w:val="left" w:pos="360"/>
      </w:tabs>
      <w:spacing w:before="156" w:after="156"/>
      <w:ind w:left="225" w:hanging="225"/>
      <w:outlineLvl w:val="3"/>
    </w:pPr>
    <w:rPr>
      <w:sz w:val="30"/>
    </w:rPr>
  </w:style>
  <w:style w:type="paragraph" w:customStyle="1" w:styleId="577">
    <w:name w:val="GW-标题9"/>
    <w:basedOn w:val="572"/>
    <w:qFormat/>
    <w:uiPriority w:val="0"/>
    <w:pPr>
      <w:tabs>
        <w:tab w:val="left" w:pos="4260"/>
        <w:tab w:val="clear" w:pos="3840"/>
      </w:tabs>
      <w:ind w:left="4260"/>
    </w:pPr>
  </w:style>
  <w:style w:type="paragraph" w:customStyle="1" w:styleId="578">
    <w:name w:val="Char Char Char1 Char"/>
    <w:basedOn w:val="1"/>
    <w:qFormat/>
    <w:uiPriority w:val="0"/>
    <w:rPr>
      <w:rFonts w:ascii="Calibri" w:hAnsi="Calibri"/>
      <w:szCs w:val="22"/>
    </w:rPr>
  </w:style>
  <w:style w:type="character" w:customStyle="1" w:styleId="579">
    <w:name w:val="标题6 Char"/>
    <w:link w:val="422"/>
    <w:qFormat/>
    <w:uiPriority w:val="0"/>
    <w:rPr>
      <w:rFonts w:eastAsia="黑体"/>
      <w:bCs/>
      <w:kern w:val="2"/>
      <w:sz w:val="24"/>
      <w:szCs w:val="28"/>
    </w:rPr>
  </w:style>
  <w:style w:type="paragraph" w:customStyle="1" w:styleId="580">
    <w:name w:val="空半行"/>
    <w:basedOn w:val="1"/>
    <w:qFormat/>
    <w:uiPriority w:val="0"/>
    <w:pPr>
      <w:adjustRightInd w:val="0"/>
      <w:spacing w:line="120" w:lineRule="exact"/>
    </w:pPr>
    <w:rPr>
      <w:rFonts w:eastAsia="仿宋_GB2312"/>
      <w:color w:val="FFFFFF"/>
      <w:kern w:val="0"/>
      <w:sz w:val="30"/>
    </w:rPr>
  </w:style>
  <w:style w:type="character" w:customStyle="1" w:styleId="581">
    <w:name w:val="批注文字 Char Char"/>
    <w:qFormat/>
    <w:uiPriority w:val="0"/>
    <w:rPr>
      <w:rFonts w:hint="eastAsia" w:ascii="宋体" w:hAnsi="Times New Roman" w:eastAsia="宋体" w:cs="Times New Roman"/>
      <w:sz w:val="28"/>
      <w:szCs w:val="20"/>
    </w:rPr>
  </w:style>
  <w:style w:type="character" w:customStyle="1" w:styleId="582">
    <w:name w:val="批注主题 Char2"/>
    <w:semiHidden/>
    <w:qFormat/>
    <w:uiPriority w:val="99"/>
    <w:rPr>
      <w:rFonts w:ascii="Calibri" w:hAnsi="Calibri"/>
      <w:b/>
      <w:bCs/>
      <w:kern w:val="2"/>
      <w:sz w:val="21"/>
      <w:szCs w:val="22"/>
    </w:rPr>
  </w:style>
  <w:style w:type="character" w:customStyle="1" w:styleId="583">
    <w:name w:val="文档结构图 Char2"/>
    <w:semiHidden/>
    <w:qFormat/>
    <w:uiPriority w:val="99"/>
    <w:rPr>
      <w:rFonts w:hint="eastAsia" w:ascii="宋体" w:hAnsi="宋体" w:eastAsia="宋体"/>
      <w:kern w:val="2"/>
      <w:sz w:val="18"/>
      <w:szCs w:val="18"/>
    </w:rPr>
  </w:style>
  <w:style w:type="character" w:customStyle="1" w:styleId="584">
    <w:name w:val="日期 Char2"/>
    <w:semiHidden/>
    <w:qFormat/>
    <w:uiPriority w:val="99"/>
    <w:rPr>
      <w:kern w:val="2"/>
      <w:sz w:val="21"/>
      <w:szCs w:val="22"/>
    </w:rPr>
  </w:style>
  <w:style w:type="character" w:customStyle="1" w:styleId="585">
    <w:name w:val="正文文本 Char2"/>
    <w:semiHidden/>
    <w:qFormat/>
    <w:uiPriority w:val="99"/>
    <w:rPr>
      <w:kern w:val="2"/>
      <w:sz w:val="21"/>
      <w:szCs w:val="22"/>
    </w:rPr>
  </w:style>
  <w:style w:type="paragraph" w:customStyle="1" w:styleId="586">
    <w:name w:val="Normal_2"/>
    <w:qFormat/>
    <w:uiPriority w:val="0"/>
    <w:rPr>
      <w:rFonts w:ascii="黑体" w:hAnsi="黑体" w:eastAsia="黑体" w:cs="Times New Roman"/>
      <w:b/>
      <w:sz w:val="32"/>
      <w:szCs w:val="24"/>
      <w:lang w:val="en-US" w:eastAsia="zh-CN" w:bidi="ar-SA"/>
    </w:rPr>
  </w:style>
  <w:style w:type="paragraph" w:customStyle="1" w:styleId="587">
    <w:name w:val="Normal_3"/>
    <w:qFormat/>
    <w:uiPriority w:val="0"/>
    <w:rPr>
      <w:rFonts w:ascii="黑体" w:hAnsi="黑体" w:eastAsia="黑体" w:cs="Times New Roman"/>
      <w:b/>
      <w:sz w:val="32"/>
      <w:szCs w:val="24"/>
      <w:lang w:val="en-US" w:eastAsia="zh-CN" w:bidi="ar-SA"/>
    </w:rPr>
  </w:style>
  <w:style w:type="paragraph" w:customStyle="1" w:styleId="588">
    <w:name w:val="Normal_4"/>
    <w:qFormat/>
    <w:uiPriority w:val="0"/>
    <w:rPr>
      <w:rFonts w:ascii="黑体" w:hAnsi="黑体" w:eastAsia="黑体" w:cs="Times New Roman"/>
      <w:b/>
      <w:sz w:val="32"/>
      <w:szCs w:val="24"/>
      <w:lang w:val="en-US" w:eastAsia="zh-CN" w:bidi="ar-SA"/>
    </w:rPr>
  </w:style>
  <w:style w:type="paragraph" w:customStyle="1" w:styleId="58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0">
    <w:name w:val="Normal_5"/>
    <w:qFormat/>
    <w:uiPriority w:val="0"/>
    <w:rPr>
      <w:rFonts w:ascii="黑体" w:hAnsi="黑体" w:eastAsia="黑体" w:cs="Times New Roman"/>
      <w:b/>
      <w:sz w:val="32"/>
      <w:szCs w:val="24"/>
      <w:lang w:val="en-US" w:eastAsia="zh-CN" w:bidi="ar-SA"/>
    </w:rPr>
  </w:style>
  <w:style w:type="paragraph" w:customStyle="1" w:styleId="591">
    <w:name w:val="Normal_6"/>
    <w:qFormat/>
    <w:uiPriority w:val="0"/>
    <w:rPr>
      <w:rFonts w:ascii="黑体" w:hAnsi="黑体" w:eastAsia="黑体" w:cs="Times New Roman"/>
      <w:b/>
      <w:sz w:val="32"/>
      <w:szCs w:val="24"/>
      <w:lang w:val="en-US" w:eastAsia="zh-CN" w:bidi="ar-SA"/>
    </w:rPr>
  </w:style>
  <w:style w:type="paragraph" w:customStyle="1" w:styleId="592">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3">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4">
    <w:name w:val="Normal_7"/>
    <w:qFormat/>
    <w:uiPriority w:val="0"/>
    <w:rPr>
      <w:rFonts w:ascii="黑体" w:hAnsi="黑体" w:eastAsia="黑体" w:cs="Times New Roman"/>
      <w:b/>
      <w:sz w:val="32"/>
      <w:szCs w:val="24"/>
      <w:lang w:val="en-US" w:eastAsia="zh-CN" w:bidi="ar-SA"/>
    </w:rPr>
  </w:style>
  <w:style w:type="paragraph" w:customStyle="1" w:styleId="595">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6">
    <w:name w:val="Normal_9"/>
    <w:qFormat/>
    <w:uiPriority w:val="0"/>
    <w:rPr>
      <w:rFonts w:ascii="黑体" w:hAnsi="黑体" w:eastAsia="黑体" w:cs="Times New Roman"/>
      <w:b/>
      <w:sz w:val="32"/>
      <w:szCs w:val="24"/>
      <w:lang w:val="en-US" w:eastAsia="zh-CN" w:bidi="ar-SA"/>
    </w:rPr>
  </w:style>
  <w:style w:type="paragraph" w:customStyle="1" w:styleId="597">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8">
    <w:name w:val="目录 1_0"/>
    <w:basedOn w:val="597"/>
    <w:next w:val="597"/>
    <w:qFormat/>
    <w:uiPriority w:val="39"/>
    <w:pPr>
      <w:spacing w:line="440" w:lineRule="exact"/>
      <w:jc w:val="center"/>
    </w:pPr>
  </w:style>
  <w:style w:type="paragraph" w:customStyle="1" w:styleId="599">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0">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2">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3">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4">
    <w:name w:val="Normal_10"/>
    <w:qFormat/>
    <w:uiPriority w:val="0"/>
    <w:rPr>
      <w:rFonts w:ascii="黑体" w:hAnsi="黑体" w:eastAsia="黑体" w:cs="Times New Roman"/>
      <w:b/>
      <w:sz w:val="32"/>
      <w:szCs w:val="24"/>
      <w:lang w:val="en-US" w:eastAsia="zh-CN" w:bidi="ar-SA"/>
    </w:rPr>
  </w:style>
  <w:style w:type="paragraph" w:customStyle="1" w:styleId="605">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6">
    <w:name w:val="Normal_11"/>
    <w:qFormat/>
    <w:uiPriority w:val="0"/>
    <w:rPr>
      <w:rFonts w:ascii="黑体" w:hAnsi="黑体" w:eastAsia="黑体" w:cs="Times New Roman"/>
      <w:b/>
      <w:sz w:val="32"/>
      <w:szCs w:val="24"/>
      <w:lang w:val="en-US" w:eastAsia="zh-CN" w:bidi="ar-SA"/>
    </w:rPr>
  </w:style>
  <w:style w:type="paragraph" w:customStyle="1" w:styleId="607">
    <w:name w:val="Normal_13"/>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60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09">
    <w:name w:val="NormalCharacter"/>
    <w:semiHidden/>
    <w:qFormat/>
    <w:uiPriority w:val="0"/>
  </w:style>
  <w:style w:type="paragraph" w:customStyle="1" w:styleId="610">
    <w:name w:val="一级条标题"/>
    <w:basedOn w:val="339"/>
    <w:next w:val="240"/>
    <w:qFormat/>
    <w:uiPriority w:val="0"/>
    <w:pPr>
      <w:tabs>
        <w:tab w:val="left" w:pos="810"/>
        <w:tab w:val="left" w:pos="907"/>
        <w:tab w:val="left" w:pos="1265"/>
      </w:tabs>
      <w:spacing w:beforeLines="0" w:afterLines="0" w:line="1292" w:lineRule="atLeast"/>
      <w:ind w:left="907" w:hanging="907"/>
      <w:jc w:val="center"/>
      <w:outlineLvl w:val="2"/>
    </w:pPr>
    <w:rPr>
      <w:rFonts w:ascii="Arial" w:hAnsi="宋体" w:cs="黑体"/>
      <w:sz w:val="20"/>
      <w:lang w:eastAsia="en-US" w:bidi="en-US"/>
    </w:rPr>
  </w:style>
  <w:style w:type="paragraph" w:customStyle="1" w:styleId="611">
    <w:name w:val="Body text|1"/>
    <w:basedOn w:val="1"/>
    <w:qFormat/>
    <w:uiPriority w:val="0"/>
    <w:pPr>
      <w:spacing w:line="401" w:lineRule="auto"/>
      <w:ind w:firstLine="400"/>
    </w:pPr>
    <w:rPr>
      <w:rFonts w:ascii="宋体" w:hAnsi="宋体" w:cs="宋体"/>
      <w:color w:val="273740"/>
      <w:sz w:val="30"/>
      <w:szCs w:val="30"/>
      <w:lang w:val="zh-TW" w:eastAsia="zh-TW" w:bidi="zh-TW"/>
    </w:rPr>
  </w:style>
  <w:style w:type="character" w:customStyle="1" w:styleId="612">
    <w:name w:val="font21"/>
    <w:qFormat/>
    <w:uiPriority w:val="0"/>
    <w:rPr>
      <w:rFonts w:hint="default" w:ascii="Times New Roman" w:hAnsi="Times New Roman" w:cs="Times New Roman"/>
      <w:color w:val="000000"/>
      <w:sz w:val="16"/>
      <w:szCs w:val="16"/>
      <w:u w:val="none"/>
    </w:rPr>
  </w:style>
  <w:style w:type="paragraph" w:customStyle="1" w:styleId="613">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character" w:customStyle="1" w:styleId="614">
    <w:name w:val="页脚 Char3"/>
    <w:basedOn w:val="66"/>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2112C-39DD-450D-A4BC-59C520C6F517}">
  <ds:schemaRefs/>
</ds:datastoreItem>
</file>

<file path=docProps/app.xml><?xml version="1.0" encoding="utf-8"?>
<Properties xmlns="http://schemas.openxmlformats.org/officeDocument/2006/extended-properties" xmlns:vt="http://schemas.openxmlformats.org/officeDocument/2006/docPropsVTypes">
  <Template>Normal</Template>
  <Pages>49</Pages>
  <Words>24489</Words>
  <Characters>25268</Characters>
  <Lines>197</Lines>
  <Paragraphs>55</Paragraphs>
  <TotalTime>0</TotalTime>
  <ScaleCrop>false</ScaleCrop>
  <LinksUpToDate>false</LinksUpToDate>
  <CharactersWithSpaces>26247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2026-06-05T05:56:00Z</dcterms:created>
  <dc:creator>遥望</dc:creator>
  <cp:lastModifiedBy>六六</cp:lastModifiedBy>
  <cp:lastPrinted>2022-10-27T02:47:00Z</cp:lastPrinted>
  <dcterms:modified xsi:type="dcterms:W3CDTF">2026-06-05T08:27:01Z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D6611C3EA22E4F7EB2E3C4183E089577_13</vt:lpwstr>
  </property>
  <property fmtid="{D5CDD505-2E9C-101B-9397-08002B2CF9AE}" pid="4" name="KSOTemplateDocerSaveRecord">
    <vt:lpwstr>eyJoZGlkIjoiYjk3NmU3MWU3MDljNWI4NTIyY2RiZjdlODEzOGM4ZGEiLCJ1c2VySWQiOiI0ODI5MzYzMTUifQ==</vt:lpwstr>
  </property>
</Properties>
</file>