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20" w:after="120"/>
        <w:jc w:val="center"/>
        <w:rPr>
          <w:rFonts w:hint="eastAsia" w:ascii="宋体" w:hAnsi="宋体" w:eastAsia="宋体" w:cs="宋体"/>
          <w:sz w:val="36"/>
          <w:szCs w:val="28"/>
        </w:rPr>
      </w:pPr>
      <w:bookmarkStart w:id="0" w:name="_GoBack"/>
      <w:bookmarkEnd w:id="0"/>
      <w:r>
        <w:rPr>
          <w:rFonts w:hint="eastAsia" w:ascii="宋体" w:hAnsi="宋体" w:eastAsia="宋体" w:cs="宋体"/>
          <w:sz w:val="36"/>
          <w:szCs w:val="28"/>
        </w:rPr>
        <w:t>南京审计大学金审学院行政楼改造工程</w:t>
      </w:r>
    </w:p>
    <w:p>
      <w:pPr>
        <w:pStyle w:val="2"/>
        <w:spacing w:before="120" w:after="120"/>
        <w:jc w:val="center"/>
        <w:rPr>
          <w:rFonts w:hint="eastAsia" w:ascii="宋体" w:hAnsi="宋体" w:eastAsia="宋体" w:cs="宋体"/>
          <w:sz w:val="36"/>
          <w:szCs w:val="28"/>
        </w:rPr>
      </w:pPr>
      <w:r>
        <w:rPr>
          <w:rFonts w:hint="eastAsia" w:ascii="宋体" w:hAnsi="宋体" w:eastAsia="宋体" w:cs="宋体"/>
          <w:sz w:val="36"/>
          <w:szCs w:val="28"/>
        </w:rPr>
        <w:t>工程量清单编制说明</w:t>
      </w:r>
    </w:p>
    <w:p>
      <w:pPr>
        <w:spacing w:line="360" w:lineRule="auto"/>
        <w:outlineLvl w:val="0"/>
        <w:rPr>
          <w:rFonts w:hint="eastAsia" w:ascii="楷体" w:hAnsi="楷体" w:eastAsia="楷体" w:cs="楷体"/>
          <w:b/>
          <w:bCs/>
          <w:sz w:val="24"/>
        </w:rPr>
      </w:pPr>
      <w:r>
        <w:rPr>
          <w:rFonts w:hint="eastAsia" w:ascii="楷体" w:hAnsi="楷体" w:eastAsia="楷体" w:cs="楷体"/>
          <w:b/>
          <w:bCs/>
          <w:sz w:val="24"/>
        </w:rPr>
        <w:t>一、工程概况</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南京审计大学金审学院行政楼位于南京市栖霞区仙林大学城仙林大道100号南京审计大学金审学院校区内，项目改造面积 450.12平方米，改造层数为一、三层（建筑局部改造），结构形式为框架结构。</w:t>
      </w:r>
    </w:p>
    <w:p>
      <w:pPr>
        <w:spacing w:line="360" w:lineRule="auto"/>
        <w:outlineLvl w:val="0"/>
        <w:rPr>
          <w:rFonts w:hint="eastAsia" w:ascii="楷体" w:hAnsi="楷体" w:eastAsia="楷体" w:cs="楷体"/>
          <w:b/>
          <w:bCs/>
          <w:sz w:val="24"/>
        </w:rPr>
      </w:pPr>
      <w:r>
        <w:rPr>
          <w:rFonts w:hint="eastAsia" w:ascii="楷体" w:hAnsi="楷体" w:eastAsia="楷体" w:cs="楷体"/>
          <w:b/>
          <w:bCs/>
          <w:sz w:val="24"/>
        </w:rPr>
        <w:t>二、改造范围</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一层会议层、三层办公室、走道；</w:t>
      </w:r>
    </w:p>
    <w:p>
      <w:pPr>
        <w:spacing w:line="360" w:lineRule="auto"/>
        <w:outlineLvl w:val="0"/>
        <w:rPr>
          <w:rFonts w:hint="eastAsia" w:ascii="楷体" w:hAnsi="楷体" w:eastAsia="楷体" w:cs="楷体"/>
          <w:b/>
          <w:bCs/>
          <w:sz w:val="24"/>
        </w:rPr>
      </w:pPr>
      <w:r>
        <w:rPr>
          <w:rFonts w:hint="eastAsia" w:ascii="楷体" w:hAnsi="楷体" w:eastAsia="楷体" w:cs="楷体"/>
          <w:b/>
          <w:bCs/>
          <w:sz w:val="24"/>
        </w:rPr>
        <w:t>三、工程招标范围</w:t>
      </w:r>
    </w:p>
    <w:p>
      <w:pPr>
        <w:spacing w:line="360" w:lineRule="auto"/>
        <w:ind w:firstLine="482" w:firstLineChars="200"/>
        <w:rPr>
          <w:rFonts w:hint="eastAsia" w:ascii="仿宋" w:hAnsi="仿宋" w:eastAsia="仿宋" w:cs="仿宋"/>
          <w:sz w:val="24"/>
        </w:rPr>
      </w:pPr>
      <w:r>
        <w:rPr>
          <w:rFonts w:hint="eastAsia" w:ascii="仿宋" w:hAnsi="仿宋" w:eastAsia="仿宋" w:cs="仿宋"/>
          <w:b/>
          <w:bCs/>
          <w:sz w:val="24"/>
        </w:rPr>
        <w:t>1、本次招标范围：</w:t>
      </w:r>
      <w:r>
        <w:rPr>
          <w:rFonts w:hint="eastAsia" w:ascii="仿宋" w:hAnsi="仿宋" w:eastAsia="仿宋" w:cs="仿宋"/>
          <w:sz w:val="24"/>
        </w:rPr>
        <w:t>包括施工图纸范围内的拆除工程、装饰装修工程、暖通工程、电气工程、弱电工程；具体详见招标工程量清单、招标文件及设计图纸。</w:t>
      </w:r>
    </w:p>
    <w:p>
      <w:pPr>
        <w:spacing w:line="360" w:lineRule="auto"/>
        <w:ind w:firstLine="482" w:firstLineChars="200"/>
        <w:rPr>
          <w:rFonts w:hint="eastAsia" w:ascii="仿宋" w:hAnsi="仿宋" w:eastAsia="仿宋" w:cs="仿宋"/>
          <w:sz w:val="24"/>
        </w:rPr>
      </w:pPr>
      <w:r>
        <w:rPr>
          <w:rFonts w:hint="eastAsia" w:ascii="仿宋" w:hAnsi="仿宋" w:eastAsia="仿宋" w:cs="仿宋"/>
          <w:b/>
          <w:bCs/>
          <w:sz w:val="24"/>
        </w:rPr>
        <w:t>2、不在本次招标范围：</w:t>
      </w:r>
      <w:r>
        <w:rPr>
          <w:rFonts w:hint="eastAsia" w:ascii="仿宋" w:hAnsi="仿宋" w:eastAsia="仿宋" w:cs="仿宋"/>
          <w:sz w:val="24"/>
        </w:rPr>
        <w:t>矮柜、窗帘等办公家具采购。</w:t>
      </w:r>
    </w:p>
    <w:p>
      <w:pPr>
        <w:spacing w:line="360" w:lineRule="auto"/>
        <w:outlineLvl w:val="0"/>
        <w:rPr>
          <w:rFonts w:hint="eastAsia" w:ascii="楷体" w:hAnsi="楷体" w:eastAsia="楷体" w:cs="楷体"/>
          <w:b/>
          <w:bCs/>
          <w:sz w:val="24"/>
        </w:rPr>
      </w:pPr>
      <w:r>
        <w:rPr>
          <w:rFonts w:hint="eastAsia" w:ascii="楷体" w:hAnsi="楷体" w:eastAsia="楷体" w:cs="楷体"/>
          <w:b/>
          <w:bCs/>
          <w:sz w:val="24"/>
        </w:rPr>
        <w:t>四、编制依据</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1、委托人提供的本工程招标文件、招标图纸(电子版)、设计答疑(电子版)。</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2、《建设工程工程量清单计价规范》（GB50500-2013）及其配套9本工程量计算规范。</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3、江苏省住房和城乡建设厅发布的《关于&lt;建设工程工程量清单计价规范&gt;（GB50500-2013）及其9本工程量计算规范的贯彻意见》（苏建价〔2014〕448号）。</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4、《江苏省建筑与装饰工程计价定额》（2014年）、《江苏省安装工程计价定额》（2014年）、《江苏省房屋修缮工程计价表》（2009年）、《江苏省市政工程计价定额》（2014年）、《江苏省仿古建筑与园林工程计价表》（2007年）、《江苏省建设工程费用定额（营改增）》（2014版）。</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5、江苏省住房和城乡建设厅发布的《关于建筑业实施营改增后江苏省建设工程计价依据调整的通知》（苏建价〔2016〕154号）及其调整文件。</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6、江苏省住房和城乡建设厅发布的《关于调整建设工程按质论价等费用计取方法的公告》（〔2018〕第24号）。</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7、江苏省住房和城乡建设厅发布的《关于调整建设工程计价增值税税率的通知》（苏建函价〔2019〕178号）。</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9、江苏省住房和城乡建设厅发布的《关于建筑工人实名制费用计取方法的公告》（〔2019〕第19号）。</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10、江苏省住房和城乡建设厅发布的《关于智慧工地费用计取方法的公告》（〔2021〕第16号）。</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11、江苏省住房和城乡建设厅发布的《关于不再计列建设工程新冠疫情防控措施费用的通知》（苏建函质安〔2023〕145号）。</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12、与建设项目相关的标准、规范、技术资料、相关标准图集、以及省、市造价管理部门发布的与工程造价相关的现行文件。</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13、施工现场情况、工程特点及常规施工方案。</w:t>
      </w:r>
    </w:p>
    <w:p>
      <w:pPr>
        <w:spacing w:line="360" w:lineRule="auto"/>
        <w:outlineLvl w:val="0"/>
        <w:rPr>
          <w:rFonts w:hint="eastAsia" w:ascii="楷体" w:hAnsi="楷体" w:eastAsia="楷体" w:cs="楷体"/>
          <w:b/>
          <w:bCs/>
          <w:sz w:val="24"/>
        </w:rPr>
      </w:pPr>
      <w:r>
        <w:rPr>
          <w:rFonts w:hint="eastAsia" w:ascii="楷体" w:hAnsi="楷体" w:eastAsia="楷体" w:cs="楷体"/>
          <w:b/>
          <w:bCs/>
          <w:sz w:val="24"/>
        </w:rPr>
        <w:t>五、工程质量、工期</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1、质量标准：“合格”，具体详见招标文件。</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2、工期：详见招标文件。</w:t>
      </w:r>
    </w:p>
    <w:p>
      <w:pPr>
        <w:spacing w:line="360" w:lineRule="auto"/>
        <w:outlineLvl w:val="0"/>
        <w:rPr>
          <w:rFonts w:hint="eastAsia" w:ascii="楷体" w:hAnsi="楷体" w:eastAsia="楷体" w:cs="楷体"/>
          <w:b/>
          <w:bCs/>
          <w:sz w:val="24"/>
        </w:rPr>
      </w:pPr>
      <w:r>
        <w:rPr>
          <w:rFonts w:hint="eastAsia" w:ascii="楷体" w:hAnsi="楷体" w:eastAsia="楷体" w:cs="楷体"/>
          <w:b/>
          <w:bCs/>
          <w:sz w:val="24"/>
        </w:rPr>
        <w:t>六、暂列金额、暂估价</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1、本工程无暂列金额；</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2、本工程无材料（设备）暂估价。</w:t>
      </w:r>
    </w:p>
    <w:p>
      <w:pPr>
        <w:spacing w:line="360" w:lineRule="auto"/>
        <w:outlineLvl w:val="0"/>
        <w:rPr>
          <w:rFonts w:hint="eastAsia" w:ascii="楷体" w:hAnsi="楷体" w:eastAsia="楷体" w:cs="楷体"/>
          <w:b/>
          <w:bCs/>
          <w:sz w:val="24"/>
        </w:rPr>
      </w:pPr>
      <w:r>
        <w:rPr>
          <w:rFonts w:hint="eastAsia" w:ascii="楷体" w:hAnsi="楷体" w:eastAsia="楷体" w:cs="楷体"/>
          <w:b/>
          <w:bCs/>
          <w:sz w:val="24"/>
        </w:rPr>
        <w:t>七、其他重要说明</w:t>
      </w:r>
    </w:p>
    <w:p>
      <w:pPr>
        <w:spacing w:line="360" w:lineRule="auto"/>
        <w:ind w:firstLine="482" w:firstLineChars="200"/>
        <w:outlineLvl w:val="1"/>
        <w:rPr>
          <w:rFonts w:hint="eastAsia" w:ascii="仿宋" w:hAnsi="仿宋" w:eastAsia="仿宋" w:cs="仿宋"/>
          <w:b/>
          <w:sz w:val="24"/>
        </w:rPr>
      </w:pPr>
      <w:r>
        <w:rPr>
          <w:rFonts w:hint="eastAsia" w:ascii="仿宋" w:hAnsi="仿宋" w:eastAsia="仿宋" w:cs="仿宋"/>
          <w:b/>
          <w:sz w:val="24"/>
        </w:rPr>
        <w:t>（一）清单共性说明事项</w:t>
      </w:r>
    </w:p>
    <w:p>
      <w:pPr>
        <w:spacing w:line="360" w:lineRule="auto"/>
        <w:ind w:firstLine="480" w:firstLineChars="200"/>
        <w:outlineLvl w:val="2"/>
        <w:rPr>
          <w:rFonts w:hint="eastAsia" w:ascii="仿宋" w:hAnsi="仿宋" w:eastAsia="仿宋" w:cs="仿宋"/>
          <w:sz w:val="24"/>
        </w:rPr>
      </w:pPr>
      <w:r>
        <w:rPr>
          <w:rFonts w:hint="eastAsia" w:ascii="仿宋" w:hAnsi="仿宋" w:eastAsia="仿宋" w:cs="仿宋"/>
          <w:sz w:val="24"/>
        </w:rPr>
        <w:t>1、部分设计图纸不详细的，以工程量清单为准；清单项目特征描述不详的，投标人应结合图纸及计价规范，如有疑问应在招标文件约定的答疑时间前提出疑问，如未提出，中标后相应单价不再调整，且必须按设计图纸完成所有工作内容。</w:t>
      </w:r>
    </w:p>
    <w:p>
      <w:pPr>
        <w:spacing w:line="360" w:lineRule="auto"/>
        <w:ind w:firstLine="480" w:firstLineChars="200"/>
        <w:outlineLvl w:val="2"/>
        <w:rPr>
          <w:rFonts w:hint="eastAsia" w:ascii="仿宋" w:hAnsi="仿宋" w:eastAsia="仿宋" w:cs="仿宋"/>
          <w:sz w:val="24"/>
        </w:rPr>
      </w:pPr>
      <w:r>
        <w:rPr>
          <w:rFonts w:hint="eastAsia" w:ascii="仿宋" w:hAnsi="仿宋" w:eastAsia="仿宋" w:cs="仿宋"/>
          <w:sz w:val="24"/>
        </w:rPr>
        <w:t>2、投标人应仔细查阅招标文件、招标图纸、标准图集、地勘报告等资料，本工程量清单的工作内容应包含清单计价规范所列出的工作内容（但不仅限于此），其完整的工作内容应为按照设计图纸、现行的相关施工工艺、技术规范标准、施工质量验收规范标准等要求实施完成该项工程并达到设计使用要求的所有内容，投标单位应按全部内容报价。工程量清单特征描述不全时，其相关技术规范及要求应参照施工图纸和招标文件报价；清单特征中未描述的，但“13计价规范”中注明的工程内容，承包人在报价时应充分考虑“工程内容”而产生的费用，列入相应报价中。</w:t>
      </w:r>
    </w:p>
    <w:p>
      <w:pPr>
        <w:spacing w:line="360" w:lineRule="auto"/>
        <w:ind w:firstLine="480" w:firstLineChars="200"/>
        <w:outlineLvl w:val="2"/>
        <w:rPr>
          <w:rFonts w:hint="eastAsia" w:ascii="仿宋" w:hAnsi="仿宋" w:eastAsia="仿宋" w:cs="仿宋"/>
          <w:sz w:val="24"/>
        </w:rPr>
      </w:pPr>
      <w:r>
        <w:rPr>
          <w:rFonts w:hint="eastAsia" w:ascii="仿宋" w:hAnsi="仿宋" w:eastAsia="仿宋" w:cs="仿宋"/>
          <w:sz w:val="24"/>
        </w:rPr>
        <w:t>3、各投标人在投标报价时自行考虑扬尘污染防治措施及其费用，相关条例及处罚规定按照市相关文件规定执行。</w:t>
      </w:r>
    </w:p>
    <w:p>
      <w:pPr>
        <w:spacing w:line="360" w:lineRule="auto"/>
        <w:ind w:firstLine="480" w:firstLineChars="200"/>
        <w:outlineLvl w:val="2"/>
        <w:rPr>
          <w:rFonts w:hint="eastAsia" w:ascii="仿宋" w:hAnsi="仿宋" w:eastAsia="仿宋" w:cs="仿宋"/>
          <w:sz w:val="24"/>
        </w:rPr>
      </w:pPr>
      <w:r>
        <w:rPr>
          <w:rFonts w:hint="eastAsia" w:ascii="仿宋" w:hAnsi="仿宋" w:eastAsia="仿宋" w:cs="仿宋"/>
          <w:sz w:val="24"/>
        </w:rPr>
        <w:t>4、投标人于投标前必须自行踏勘现场，充分了解并分析施工条件；工程施工所需水、电、路、渣土堆放、施工便道修建等是否满足施工需求，承包人必须根据其自身施工条件，考虑自备电源发电、场地硬化、施工便道填筑、临时占地处硬化地面拆除及外运等，招标人对于现有的施工条件将不增加任何投入，涉及到的（水、电、路、渣土堆放、施工便道修建、临时占地处硬化地面拆除及外运等）增加投入的因素，投标人在投标报价中予以考虑，结算时概不调整。</w:t>
      </w:r>
    </w:p>
    <w:p>
      <w:pPr>
        <w:spacing w:line="360" w:lineRule="auto"/>
        <w:ind w:firstLine="480" w:firstLineChars="200"/>
        <w:outlineLvl w:val="2"/>
        <w:rPr>
          <w:rFonts w:hint="eastAsia" w:ascii="仿宋" w:hAnsi="仿宋" w:eastAsia="仿宋" w:cs="仿宋"/>
          <w:sz w:val="24"/>
        </w:rPr>
      </w:pPr>
      <w:r>
        <w:rPr>
          <w:rFonts w:hint="eastAsia" w:ascii="仿宋" w:hAnsi="仿宋" w:eastAsia="仿宋" w:cs="仿宋"/>
          <w:sz w:val="24"/>
        </w:rPr>
        <w:t>5、投标人根据招标文件给定的工期进行投标，且应充分考虑本工程所处地区的自然气候、人文地理条件等原因导致的工期影响、机械停滞、多次进退场、裸土覆盖、停工期间现场管理等，自行考虑相关措施，所有费用计入报价，包干使用。</w:t>
      </w:r>
    </w:p>
    <w:p>
      <w:pPr>
        <w:spacing w:line="360" w:lineRule="auto"/>
        <w:ind w:firstLine="480" w:firstLineChars="200"/>
        <w:outlineLvl w:val="2"/>
        <w:rPr>
          <w:rFonts w:hint="eastAsia" w:ascii="仿宋" w:hAnsi="仿宋" w:eastAsia="仿宋" w:cs="仿宋"/>
          <w:sz w:val="24"/>
        </w:rPr>
      </w:pPr>
      <w:r>
        <w:rPr>
          <w:rFonts w:hint="eastAsia" w:ascii="仿宋" w:hAnsi="仿宋" w:eastAsia="仿宋" w:cs="仿宋"/>
          <w:sz w:val="24"/>
        </w:rPr>
        <w:t>6、投标人必须综合考虑政府行政管理部门的有关政府性要求和变化综合考虑可能产生的相关费用，如社会活动、防洪防汛防灾、环境整治、公共安全治理、疫情防控等引起的停工、窝工、机械停滞费、降效等损失和费用增加等，招标人将不做任何费用补偿和费用调整；若政府出台新文件的执行相关新文件内容。</w:t>
      </w:r>
    </w:p>
    <w:p>
      <w:pPr>
        <w:spacing w:line="360" w:lineRule="auto"/>
        <w:ind w:firstLine="480" w:firstLineChars="200"/>
        <w:outlineLvl w:val="2"/>
        <w:rPr>
          <w:rFonts w:hint="eastAsia" w:ascii="仿宋" w:hAnsi="仿宋" w:eastAsia="仿宋" w:cs="仿宋"/>
          <w:sz w:val="24"/>
        </w:rPr>
      </w:pPr>
      <w:r>
        <w:rPr>
          <w:rFonts w:hint="eastAsia" w:ascii="仿宋" w:hAnsi="仿宋" w:eastAsia="仿宋" w:cs="仿宋"/>
          <w:sz w:val="24"/>
        </w:rPr>
        <w:t>7、施工水电费用计算和结算：本工程施工用水、电接入点由校方提供，投标人踏勘现场自行考虑施工用水、电接入点所需费用，以目前现场条件为准，承包人应充分考虑驳接和临时停水、停电；水电挂表计量，按月交给学校，具体以学校现行规定为准。承包人在投标报价时自行考虑临时水电价格的波动对工程造价的影响，结算时不予调整。投标人应充分考虑今后市场价格风险和临时停水、停电、供电水不足、施工中，由于现场临时用电、用水的负荷不能满足施工需要，采取自取（发）水电等保障措施的，其费用均含在投标报价中，结算时凡涉及此类费用均不调整。</w:t>
      </w:r>
    </w:p>
    <w:p>
      <w:pPr>
        <w:spacing w:line="360" w:lineRule="auto"/>
        <w:ind w:firstLine="480" w:firstLineChars="200"/>
        <w:outlineLvl w:val="2"/>
        <w:rPr>
          <w:rFonts w:hint="eastAsia" w:ascii="仿宋" w:hAnsi="仿宋" w:eastAsia="仿宋" w:cs="仿宋"/>
          <w:sz w:val="24"/>
        </w:rPr>
      </w:pPr>
      <w:r>
        <w:rPr>
          <w:rFonts w:hint="eastAsia" w:ascii="仿宋" w:hAnsi="仿宋" w:eastAsia="仿宋" w:cs="仿宋"/>
          <w:sz w:val="24"/>
        </w:rPr>
        <w:t>8、临时排污、排水需按照相关要求处理达标后接入建设单位指定点，并且施工临时排污、排水（红线内、外）、水资源的使用需满足相关规范要求，排污管、排水管埋深按现行相关规范执行，施工完成后须按原样修复破坏的路面、绿化和施工造成的原有管线破损等。上述相关费用均包含本次投标报价中，结算时不予调整。</w:t>
      </w:r>
    </w:p>
    <w:p>
      <w:pPr>
        <w:spacing w:line="360" w:lineRule="auto"/>
        <w:ind w:firstLine="480" w:firstLineChars="200"/>
        <w:outlineLvl w:val="2"/>
        <w:rPr>
          <w:rFonts w:hint="eastAsia" w:ascii="仿宋" w:hAnsi="仿宋" w:eastAsia="仿宋" w:cs="仿宋"/>
          <w:sz w:val="24"/>
        </w:rPr>
      </w:pPr>
      <w:r>
        <w:rPr>
          <w:rFonts w:hint="eastAsia" w:ascii="仿宋" w:hAnsi="仿宋" w:eastAsia="仿宋" w:cs="仿宋"/>
          <w:sz w:val="24"/>
        </w:rPr>
        <w:t>9、投标人施工过程中不能污染、破坏路面。如有污染、破坏要及时恢复。在投标报价中必须予以考虑，结算时不得调整。</w:t>
      </w:r>
    </w:p>
    <w:p>
      <w:pPr>
        <w:spacing w:line="360" w:lineRule="auto"/>
        <w:ind w:firstLine="480" w:firstLineChars="200"/>
        <w:outlineLvl w:val="2"/>
        <w:rPr>
          <w:rFonts w:hint="eastAsia" w:ascii="仿宋" w:hAnsi="仿宋" w:eastAsia="仿宋" w:cs="仿宋"/>
          <w:sz w:val="24"/>
        </w:rPr>
      </w:pPr>
      <w:r>
        <w:rPr>
          <w:rFonts w:hint="eastAsia" w:ascii="仿宋" w:hAnsi="仿宋" w:eastAsia="仿宋" w:cs="仿宋"/>
          <w:sz w:val="24"/>
        </w:rPr>
        <w:t>10、施工过程中市容、环保（含夜间施工）等协调费用一并计入报价，施工垃圾外运由承包方自理，满足建设单位管理要求。</w:t>
      </w:r>
    </w:p>
    <w:p>
      <w:pPr>
        <w:spacing w:line="360" w:lineRule="auto"/>
        <w:ind w:firstLine="480" w:firstLineChars="200"/>
        <w:outlineLvl w:val="2"/>
        <w:rPr>
          <w:rFonts w:hint="eastAsia" w:ascii="仿宋" w:hAnsi="仿宋" w:eastAsia="仿宋" w:cs="仿宋"/>
          <w:sz w:val="24"/>
        </w:rPr>
      </w:pPr>
      <w:r>
        <w:rPr>
          <w:rFonts w:hint="eastAsia" w:ascii="仿宋" w:hAnsi="仿宋" w:eastAsia="仿宋" w:cs="仿宋"/>
          <w:sz w:val="24"/>
        </w:rPr>
        <w:t>11、施工现场需满足项目所在地及建设单位现行工地视频监控和环保在线监测、智慧工地、建筑工地差别化管理等文件要求进行智慧工地和工地差别化管理，相关费用包含在投标报价中；如项目所在地出台新的政策要求或规范性文件，承包人须按项目所在地最新的规定执行。</w:t>
      </w:r>
    </w:p>
    <w:p>
      <w:pPr>
        <w:spacing w:line="360" w:lineRule="auto"/>
        <w:ind w:firstLine="480" w:firstLineChars="200"/>
        <w:outlineLvl w:val="2"/>
        <w:rPr>
          <w:rFonts w:hint="eastAsia" w:ascii="仿宋" w:hAnsi="仿宋" w:eastAsia="仿宋" w:cs="仿宋"/>
          <w:sz w:val="24"/>
        </w:rPr>
      </w:pPr>
      <w:r>
        <w:rPr>
          <w:rFonts w:hint="eastAsia" w:ascii="仿宋" w:hAnsi="仿宋" w:eastAsia="仿宋" w:cs="仿宋"/>
          <w:sz w:val="24"/>
        </w:rPr>
        <w:t>12、投标人应充分了解本项目性质、建设单位管理制度及地理位置，所需人员、机械、材料的超常规运费等增加费用，应在综合单价中考虑。投标人应充分考虑保证机械正常运转的措施费用，含场地硬化(回填道碴、钢板等)措施等，结算时不另外增加费用。</w:t>
      </w:r>
    </w:p>
    <w:p>
      <w:pPr>
        <w:spacing w:line="360" w:lineRule="auto"/>
        <w:ind w:firstLine="480" w:firstLineChars="200"/>
        <w:outlineLvl w:val="2"/>
        <w:rPr>
          <w:rFonts w:hint="eastAsia" w:ascii="仿宋" w:hAnsi="仿宋" w:eastAsia="仿宋" w:cs="仿宋"/>
          <w:sz w:val="24"/>
        </w:rPr>
      </w:pPr>
      <w:r>
        <w:rPr>
          <w:rFonts w:hint="eastAsia" w:ascii="仿宋" w:hAnsi="仿宋" w:eastAsia="仿宋" w:cs="仿宋"/>
          <w:sz w:val="24"/>
        </w:rPr>
        <w:t>13、施工期间相邻建筑物、道路、树木等保护及风险费用投标人综合考虑并自行报价，结算时不予调整。</w:t>
      </w:r>
    </w:p>
    <w:p>
      <w:pPr>
        <w:spacing w:line="360" w:lineRule="auto"/>
        <w:ind w:firstLine="480" w:firstLineChars="200"/>
        <w:outlineLvl w:val="2"/>
        <w:rPr>
          <w:rFonts w:hint="eastAsia" w:ascii="仿宋" w:hAnsi="仿宋" w:eastAsia="仿宋" w:cs="仿宋"/>
          <w:sz w:val="24"/>
        </w:rPr>
      </w:pPr>
      <w:r>
        <w:rPr>
          <w:rFonts w:hint="eastAsia" w:ascii="仿宋" w:hAnsi="仿宋" w:eastAsia="仿宋" w:cs="仿宋"/>
          <w:sz w:val="24"/>
        </w:rPr>
        <w:t>14、投标人在进行场地平面布置时需与水土保持方案相结合，施工排水沟、沉砂池、冲洗平台等水土保持措施产生的相关费用在投标报价中综合考虑，结算时不予调整。</w:t>
      </w:r>
    </w:p>
    <w:p>
      <w:pPr>
        <w:spacing w:line="360" w:lineRule="auto"/>
        <w:ind w:firstLine="480" w:firstLineChars="200"/>
        <w:outlineLvl w:val="2"/>
        <w:rPr>
          <w:rFonts w:hint="eastAsia" w:ascii="仿宋" w:hAnsi="仿宋" w:eastAsia="仿宋" w:cs="仿宋"/>
          <w:sz w:val="24"/>
        </w:rPr>
      </w:pPr>
      <w:r>
        <w:rPr>
          <w:rFonts w:hint="eastAsia" w:ascii="仿宋" w:hAnsi="仿宋" w:eastAsia="仿宋" w:cs="仿宋"/>
          <w:sz w:val="24"/>
        </w:rPr>
        <w:t>15、投标人按施工当地主管部门要求的要求自行考虑脚手架或支撑的选型（例如盘扣式等）、搭设密度、支撑方式、安全网（铝质）等安全施工措施，无论实际采用何种形式，由此引起的增减费用(含政策调整)在报价中综合考虑，结算时不调整。</w:t>
      </w:r>
    </w:p>
    <w:p>
      <w:pPr>
        <w:spacing w:line="360" w:lineRule="auto"/>
        <w:ind w:firstLine="480" w:firstLineChars="200"/>
        <w:outlineLvl w:val="2"/>
        <w:rPr>
          <w:rFonts w:hint="eastAsia" w:ascii="仿宋" w:hAnsi="仿宋" w:eastAsia="仿宋" w:cs="仿宋"/>
          <w:sz w:val="24"/>
        </w:rPr>
      </w:pPr>
      <w:r>
        <w:rPr>
          <w:rFonts w:hint="eastAsia" w:ascii="仿宋" w:hAnsi="仿宋" w:eastAsia="仿宋" w:cs="仿宋"/>
          <w:sz w:val="24"/>
        </w:rPr>
        <w:t>17、本工程涉及安装各类管道的预留孔洞、穿墙、穿板、打洞、开槽、穿梁、绕梁、套管、开孔、封堵、修补等一系列相关内容，应由土建及安装专业综合协调实施，投标人按规范、图纸要求自行考虑相关费用，在报价时均需综合考虑，除清单已单独列项外结算时不再增加此类费用。</w:t>
      </w:r>
    </w:p>
    <w:p>
      <w:pPr>
        <w:spacing w:line="360" w:lineRule="auto"/>
        <w:ind w:firstLine="480" w:firstLineChars="200"/>
        <w:outlineLvl w:val="2"/>
        <w:rPr>
          <w:rFonts w:hint="eastAsia" w:ascii="仿宋" w:hAnsi="仿宋" w:eastAsia="仿宋" w:cs="仿宋"/>
          <w:sz w:val="24"/>
        </w:rPr>
      </w:pPr>
      <w:r>
        <w:rPr>
          <w:rFonts w:hint="eastAsia" w:ascii="仿宋" w:hAnsi="仿宋" w:eastAsia="仿宋" w:cs="仿宋"/>
          <w:sz w:val="24"/>
        </w:rPr>
        <w:t>18、因施工场地狭小或施工需要对临时设施、施工临时道路多次搬迁、移位的费用由投标人自行考虑在投标总价中，结算时不另外增加费用。</w:t>
      </w:r>
    </w:p>
    <w:p>
      <w:pPr>
        <w:spacing w:line="360" w:lineRule="auto"/>
        <w:ind w:firstLine="480" w:firstLineChars="200"/>
        <w:outlineLvl w:val="2"/>
        <w:rPr>
          <w:rFonts w:hint="eastAsia" w:ascii="仿宋" w:hAnsi="仿宋" w:eastAsia="仿宋" w:cs="仿宋"/>
          <w:sz w:val="24"/>
        </w:rPr>
      </w:pPr>
      <w:r>
        <w:rPr>
          <w:rFonts w:hint="eastAsia" w:ascii="仿宋" w:hAnsi="仿宋" w:eastAsia="仿宋" w:cs="仿宋"/>
          <w:sz w:val="24"/>
        </w:rPr>
        <w:t>19、本项目施工车辆按指定路线进入施工场地，校园内行驶过程注意控制车速，避让师生；投标人需结合现场情况在投标报价中综合考虑道路运输的保护、加固、安全围护、清理，以及交通管制、行人行车干扰产生的措施及降效等费用，满足校方的管理规定；</w:t>
      </w:r>
      <w:r>
        <w:rPr>
          <w:rFonts w:hint="eastAsia" w:ascii="仿宋" w:hAnsi="仿宋" w:eastAsia="仿宋" w:cs="仿宋"/>
          <w:bCs/>
          <w:sz w:val="24"/>
        </w:rPr>
        <w:t>如产生施工降效，投标人自行在报价中综合考虑，</w:t>
      </w:r>
      <w:r>
        <w:rPr>
          <w:rFonts w:hint="eastAsia" w:ascii="仿宋" w:hAnsi="仿宋" w:eastAsia="仿宋" w:cs="仿宋"/>
          <w:sz w:val="24"/>
        </w:rPr>
        <w:t>结算时不因类似问题增加任何费用。</w:t>
      </w:r>
    </w:p>
    <w:p>
      <w:pPr>
        <w:spacing w:line="360" w:lineRule="auto"/>
        <w:ind w:firstLine="480" w:firstLineChars="200"/>
        <w:outlineLvl w:val="2"/>
        <w:rPr>
          <w:rFonts w:hint="eastAsia" w:ascii="仿宋" w:hAnsi="仿宋" w:eastAsia="仿宋" w:cs="仿宋"/>
          <w:sz w:val="24"/>
        </w:rPr>
      </w:pPr>
      <w:r>
        <w:rPr>
          <w:rFonts w:hint="eastAsia" w:ascii="仿宋" w:hAnsi="仿宋" w:eastAsia="仿宋" w:cs="仿宋"/>
          <w:sz w:val="24"/>
        </w:rPr>
        <w:t>21、因配合主管部门检查的相关费用由投标人自行考虑在投标总价中，结算时不另外增加费用。</w:t>
      </w:r>
    </w:p>
    <w:p>
      <w:pPr>
        <w:spacing w:line="360" w:lineRule="auto"/>
        <w:ind w:firstLine="480" w:firstLineChars="200"/>
        <w:outlineLvl w:val="2"/>
        <w:rPr>
          <w:rFonts w:hint="eastAsia" w:ascii="仿宋" w:hAnsi="仿宋" w:eastAsia="仿宋" w:cs="仿宋"/>
          <w:sz w:val="24"/>
        </w:rPr>
      </w:pPr>
      <w:r>
        <w:rPr>
          <w:rFonts w:hint="eastAsia" w:ascii="仿宋" w:hAnsi="仿宋" w:eastAsia="仿宋" w:cs="仿宋"/>
          <w:sz w:val="24"/>
        </w:rPr>
        <w:t>22、投标人需结合现场情况在投标报价中综合考虑施工围挡，保证施工现场及工人生活区域形成独立完整的封闭系统与学校做到完全物理隔离。</w:t>
      </w:r>
    </w:p>
    <w:p>
      <w:pPr>
        <w:spacing w:line="360" w:lineRule="auto"/>
        <w:ind w:firstLine="480" w:firstLineChars="200"/>
        <w:outlineLvl w:val="2"/>
        <w:rPr>
          <w:rFonts w:hint="eastAsia" w:ascii="仿宋" w:hAnsi="仿宋" w:eastAsia="仿宋" w:cs="仿宋"/>
          <w:bCs/>
          <w:sz w:val="24"/>
        </w:rPr>
      </w:pPr>
      <w:r>
        <w:rPr>
          <w:rFonts w:hint="eastAsia" w:ascii="仿宋" w:hAnsi="仿宋" w:eastAsia="仿宋" w:cs="仿宋"/>
          <w:sz w:val="24"/>
        </w:rPr>
        <w:t>23、</w:t>
      </w:r>
      <w:r>
        <w:rPr>
          <w:rFonts w:ascii="仿宋" w:hAnsi="仿宋" w:eastAsia="仿宋" w:cs="仿宋"/>
          <w:bCs/>
          <w:sz w:val="24"/>
        </w:rPr>
        <w:t>本工程中各项均需考虑成品保护费用，投标人综合考虑,结算时不予调整；</w:t>
      </w:r>
    </w:p>
    <w:p>
      <w:pPr>
        <w:spacing w:line="360" w:lineRule="auto"/>
        <w:ind w:firstLine="480" w:firstLineChars="200"/>
        <w:outlineLvl w:val="2"/>
        <w:rPr>
          <w:rFonts w:hint="eastAsia" w:ascii="仿宋" w:hAnsi="仿宋" w:eastAsia="仿宋" w:cs="仿宋"/>
          <w:bCs/>
          <w:sz w:val="24"/>
        </w:rPr>
      </w:pPr>
      <w:r>
        <w:rPr>
          <w:rFonts w:hint="eastAsia" w:ascii="仿宋" w:hAnsi="仿宋" w:eastAsia="仿宋" w:cs="仿宋"/>
          <w:bCs/>
          <w:sz w:val="24"/>
        </w:rPr>
        <w:t>24、施工期间不得影响学校正常的教学环境，保护学校设施，道路使用、环境卫生等方面服从学校统一管理，如产生施工降效，投标人自行在报价中综合考虑；</w:t>
      </w:r>
    </w:p>
    <w:p>
      <w:pPr>
        <w:spacing w:line="360" w:lineRule="auto"/>
        <w:ind w:firstLine="480" w:firstLineChars="200"/>
        <w:outlineLvl w:val="2"/>
        <w:rPr>
          <w:rFonts w:hint="eastAsia" w:ascii="仿宋" w:hAnsi="仿宋" w:eastAsia="仿宋" w:cs="仿宋"/>
          <w:bCs/>
          <w:sz w:val="24"/>
        </w:rPr>
      </w:pPr>
      <w:r>
        <w:rPr>
          <w:rFonts w:hint="eastAsia" w:ascii="仿宋" w:hAnsi="仿宋" w:eastAsia="仿宋" w:cs="仿宋"/>
          <w:bCs/>
          <w:sz w:val="24"/>
        </w:rPr>
        <w:t>25、</w:t>
      </w:r>
      <w:r>
        <w:rPr>
          <w:rFonts w:hint="eastAsia" w:ascii="仿宋" w:hAnsi="仿宋" w:eastAsia="仿宋" w:cs="仿宋"/>
          <w:sz w:val="24"/>
        </w:rPr>
        <w:t>因施工场地及合同工期时间的要求，实际施工过程中产生的夜间施工及赶工等费用，需综合考虑在投标报价中，结算时不再另行计取。</w:t>
      </w:r>
    </w:p>
    <w:p>
      <w:pPr>
        <w:spacing w:line="360" w:lineRule="auto"/>
        <w:ind w:firstLine="482" w:firstLineChars="200"/>
        <w:outlineLvl w:val="1"/>
        <w:rPr>
          <w:rFonts w:hint="eastAsia" w:ascii="仿宋" w:hAnsi="仿宋" w:eastAsia="仿宋" w:cs="仿宋"/>
          <w:b/>
          <w:sz w:val="24"/>
        </w:rPr>
      </w:pPr>
      <w:r>
        <w:rPr>
          <w:rFonts w:hint="eastAsia" w:ascii="仿宋" w:hAnsi="仿宋" w:eastAsia="仿宋" w:cs="仿宋"/>
          <w:b/>
          <w:sz w:val="24"/>
        </w:rPr>
        <w:t>（二）拆除工程</w:t>
      </w:r>
    </w:p>
    <w:p>
      <w:pPr>
        <w:spacing w:line="360" w:lineRule="auto"/>
        <w:ind w:firstLine="480" w:firstLineChars="200"/>
        <w:outlineLvl w:val="2"/>
        <w:rPr>
          <w:rFonts w:hint="eastAsia" w:ascii="仿宋" w:hAnsi="仿宋" w:eastAsia="仿宋" w:cs="仿宋"/>
          <w:sz w:val="24"/>
        </w:rPr>
      </w:pPr>
      <w:r>
        <w:rPr>
          <w:rFonts w:hint="eastAsia" w:ascii="仿宋" w:hAnsi="仿宋" w:eastAsia="仿宋" w:cs="仿宋"/>
          <w:sz w:val="24"/>
        </w:rPr>
        <w:t>1、拆除项目，投标人在查阅图纸及现场踏勘后，应综合考虑施工中的各种因素制定合理的拆除方案。在拆除工作开展前，拆除方案必须经过监理及建设单位的批准。拆除区域必须经监理及建设单位确认后，方能拆除，否则不予计量。对墙体造成损坏的必须修复，对结构造成影响，承担一切责任。投标人需保证拆除后的表面必须平滑，对结构开裂或缺陷处进行找补，符合后期装修及建设单位的要求。投标人报价时需综合考虑建筑垃圾的垂直运输方式，以及因施工场地问题导致建筑材料、建筑垃圾的二次倒运，并结合省、市相关主管部门的相关规定，综合考虑渣土费、运距和运输方式、清洗、除尘、必要的安全保障措施等综合报价，且该费用不论是否报价，结算概不调整；</w:t>
      </w:r>
    </w:p>
    <w:p>
      <w:pPr>
        <w:spacing w:line="360" w:lineRule="auto"/>
        <w:ind w:firstLine="480" w:firstLineChars="200"/>
        <w:outlineLvl w:val="2"/>
        <w:rPr>
          <w:rFonts w:hint="eastAsia" w:ascii="仿宋" w:hAnsi="仿宋" w:eastAsia="仿宋" w:cs="仿宋"/>
          <w:sz w:val="24"/>
        </w:rPr>
      </w:pPr>
      <w:r>
        <w:rPr>
          <w:rFonts w:hint="eastAsia" w:ascii="仿宋" w:hAnsi="仿宋" w:eastAsia="仿宋" w:cs="仿宋"/>
          <w:sz w:val="24"/>
        </w:rPr>
        <w:t>2、拆除后需要原状恢复的项目，承包人需采取有效的保护性拆除措施，保证拆除下来材料的完好性，并按原状恢复，因承包人原因导致破坏的的需由承包人自行承担更换费用，结算时不予调整；</w:t>
      </w:r>
    </w:p>
    <w:p>
      <w:pPr>
        <w:spacing w:line="360" w:lineRule="auto"/>
        <w:ind w:firstLine="480" w:firstLineChars="200"/>
        <w:outlineLvl w:val="2"/>
        <w:rPr>
          <w:rFonts w:hint="eastAsia" w:ascii="仿宋" w:hAnsi="仿宋" w:eastAsia="仿宋" w:cs="仿宋"/>
          <w:sz w:val="24"/>
        </w:rPr>
      </w:pPr>
      <w:r>
        <w:rPr>
          <w:rFonts w:hint="eastAsia" w:ascii="仿宋" w:hAnsi="仿宋" w:eastAsia="仿宋" w:cs="仿宋"/>
          <w:sz w:val="24"/>
        </w:rPr>
        <w:t>3、地面、墙面等拆除至基层的厚度自行考虑报价，拆除还需保证其平整度，同时报价中应考虑原基层清理费用，结算时不因找平层厚度变化或清理费用增加等原因而调整报价；</w:t>
      </w:r>
    </w:p>
    <w:p>
      <w:pPr>
        <w:spacing w:line="360" w:lineRule="auto"/>
        <w:ind w:firstLine="480" w:firstLineChars="200"/>
        <w:outlineLvl w:val="2"/>
        <w:rPr>
          <w:rFonts w:hint="eastAsia" w:ascii="仿宋" w:hAnsi="仿宋" w:eastAsia="仿宋" w:cs="仿宋"/>
          <w:sz w:val="24"/>
        </w:rPr>
      </w:pPr>
      <w:r>
        <w:rPr>
          <w:rFonts w:hint="eastAsia" w:ascii="仿宋" w:hAnsi="仿宋" w:eastAsia="仿宋" w:cs="仿宋"/>
          <w:sz w:val="24"/>
        </w:rPr>
        <w:t>4、原受力构件(梁、板、柱、墙)与原结构主体的断开必须采用静力切割技术、水钻排孔工艺等对主体结构无振动破坏的静力拆除方式,不得采用人工重锤敲击、风镐破碎等对主体结构存在振动破坏的方式。</w:t>
      </w:r>
    </w:p>
    <w:p>
      <w:pPr>
        <w:spacing w:line="360" w:lineRule="auto"/>
        <w:ind w:firstLine="480" w:firstLineChars="200"/>
        <w:outlineLvl w:val="2"/>
        <w:rPr>
          <w:rFonts w:hint="eastAsia" w:ascii="仿宋" w:hAnsi="仿宋" w:eastAsia="仿宋" w:cs="仿宋"/>
          <w:sz w:val="24"/>
        </w:rPr>
      </w:pPr>
      <w:r>
        <w:rPr>
          <w:rFonts w:hint="eastAsia" w:ascii="仿宋" w:hAnsi="仿宋" w:eastAsia="仿宋" w:cs="仿宋"/>
          <w:sz w:val="24"/>
        </w:rPr>
        <w:t>5、原涂料墙面高压水枪冲洗清理,出现空鼓需铲除,用WPM20湿拌水泥砂浆修补平整，费用在综合单价里综合考虑，结算时不另行增加措施费用；</w:t>
      </w:r>
    </w:p>
    <w:p>
      <w:pPr>
        <w:spacing w:line="360" w:lineRule="auto"/>
        <w:ind w:firstLine="480" w:firstLineChars="200"/>
        <w:outlineLvl w:val="2"/>
        <w:rPr>
          <w:rFonts w:hint="eastAsia" w:ascii="仿宋" w:hAnsi="仿宋" w:eastAsia="仿宋" w:cs="仿宋"/>
          <w:sz w:val="24"/>
        </w:rPr>
      </w:pPr>
      <w:r>
        <w:rPr>
          <w:rFonts w:hint="eastAsia" w:ascii="仿宋" w:hAnsi="仿宋" w:eastAsia="仿宋" w:cs="仿宋"/>
          <w:sz w:val="24"/>
        </w:rPr>
        <w:t>6、拆除工程未列其他措施项（已在装饰工程中一并考虑），投标人可根据现场情况及施工方案综合考虑，计入相关项目综合单价，结算时不另行增加措施费用；</w:t>
      </w:r>
    </w:p>
    <w:p>
      <w:pPr>
        <w:spacing w:line="360" w:lineRule="auto"/>
        <w:ind w:firstLine="480" w:firstLineChars="200"/>
        <w:outlineLvl w:val="2"/>
        <w:rPr>
          <w:rFonts w:hint="eastAsia" w:ascii="仿宋" w:hAnsi="仿宋" w:eastAsia="仿宋" w:cs="仿宋"/>
          <w:sz w:val="24"/>
        </w:rPr>
      </w:pPr>
      <w:r>
        <w:rPr>
          <w:rFonts w:hint="eastAsia" w:ascii="仿宋" w:hAnsi="仿宋" w:eastAsia="仿宋" w:cs="仿宋"/>
          <w:sz w:val="24"/>
        </w:rPr>
        <w:t>7、三层走道尽头处办公室内护窗金属栏杆</w:t>
      </w:r>
      <w:r>
        <w:rPr>
          <w:rFonts w:ascii="仿宋" w:hAnsi="仿宋" w:eastAsia="仿宋" w:cs="仿宋"/>
          <w:sz w:val="24"/>
        </w:rPr>
        <w:t>根据甲方要求</w:t>
      </w:r>
      <w:r>
        <w:rPr>
          <w:rFonts w:hint="eastAsia" w:ascii="仿宋" w:hAnsi="仿宋" w:eastAsia="仿宋" w:cs="仿宋"/>
          <w:sz w:val="24"/>
        </w:rPr>
        <w:t>拆除后，对栏杆连接处的地面、墙面进行找平、修补，并在相应工程量清单中考虑报价；</w:t>
      </w:r>
    </w:p>
    <w:p>
      <w:pPr>
        <w:spacing w:line="360" w:lineRule="auto"/>
        <w:ind w:firstLine="480" w:firstLineChars="200"/>
        <w:outlineLvl w:val="2"/>
        <w:rPr>
          <w:rFonts w:hint="eastAsia" w:ascii="仿宋" w:hAnsi="仿宋" w:eastAsia="仿宋" w:cs="仿宋"/>
          <w:sz w:val="24"/>
        </w:rPr>
      </w:pPr>
      <w:r>
        <w:rPr>
          <w:rFonts w:hint="eastAsia" w:ascii="仿宋" w:hAnsi="仿宋" w:eastAsia="仿宋" w:cs="仿宋"/>
          <w:sz w:val="24"/>
        </w:rPr>
        <w:t>8、拆除垃圾清运到校内指定点集中堆放（不得随意堆放，残值自行考虑）、外运，报价以项目特征描述为准，外弃运距由投标人根据南京市垃圾处理场具体各分布点，综合考虑，结算时不论运距实际多少，均不做调整；</w:t>
      </w:r>
    </w:p>
    <w:p>
      <w:pPr>
        <w:spacing w:line="360" w:lineRule="auto"/>
        <w:ind w:firstLine="480" w:firstLineChars="200"/>
        <w:outlineLvl w:val="2"/>
        <w:rPr>
          <w:rFonts w:hint="eastAsia" w:ascii="仿宋" w:hAnsi="仿宋" w:eastAsia="仿宋" w:cs="仿宋"/>
          <w:sz w:val="24"/>
        </w:rPr>
      </w:pPr>
      <w:r>
        <w:rPr>
          <w:rFonts w:hint="eastAsia" w:ascii="仿宋" w:hAnsi="仿宋" w:eastAsia="仿宋" w:cs="仿宋"/>
          <w:sz w:val="24"/>
        </w:rPr>
        <w:t>9、窗改门现有窗洞尺寸按1.8*3.3考虑，各投标单位应在投标期间充分勘查现场复核尺寸，根据现场情况及施工方案综合考虑投标报价，计入相关项目综合单价，结算时不另行增加有关任何费用。</w:t>
      </w:r>
    </w:p>
    <w:p>
      <w:pPr>
        <w:spacing w:line="360" w:lineRule="auto"/>
        <w:ind w:firstLine="482" w:firstLineChars="200"/>
        <w:outlineLvl w:val="1"/>
        <w:rPr>
          <w:rFonts w:hint="eastAsia" w:ascii="仿宋" w:hAnsi="仿宋" w:eastAsia="仿宋" w:cs="仿宋"/>
          <w:bCs/>
          <w:sz w:val="24"/>
        </w:rPr>
      </w:pPr>
      <w:r>
        <w:rPr>
          <w:rFonts w:hint="eastAsia" w:ascii="仿宋" w:hAnsi="仿宋" w:eastAsia="仿宋" w:cs="仿宋"/>
          <w:b/>
          <w:sz w:val="24"/>
        </w:rPr>
        <w:t>（三）装饰工程</w:t>
      </w:r>
    </w:p>
    <w:p>
      <w:pPr>
        <w:spacing w:line="360" w:lineRule="auto"/>
        <w:ind w:firstLine="480" w:firstLineChars="200"/>
        <w:outlineLvl w:val="2"/>
        <w:rPr>
          <w:rFonts w:hint="eastAsia" w:ascii="仿宋" w:hAnsi="仿宋" w:eastAsia="仿宋" w:cs="仿宋"/>
          <w:bCs/>
          <w:sz w:val="24"/>
        </w:rPr>
      </w:pPr>
      <w:r>
        <w:rPr>
          <w:rFonts w:hint="eastAsia" w:ascii="仿宋" w:hAnsi="仿宋" w:eastAsia="仿宋" w:cs="仿宋"/>
          <w:bCs/>
          <w:sz w:val="24"/>
        </w:rPr>
        <w:t>1、石材、地砖等各类块料的切割、损耗及石材六个面防护处理，石材开孔、磨边、倒角、切割等加工费用，不锈钢类材料折边、洗槽费用，墙、地砖开孔、倒角、切割费用，其他材料的墙面开各类孔洞费用、吊顶开各类孔洞费用、玻璃磨边费用等，各投标单位参照设计图纸在相应项目综合单价中报价，其相关费用今后不再另行调整。墙地砖均需考虑基层清理、成品保护等，投标报价时综合考虑，结算时不予调整；</w:t>
      </w:r>
    </w:p>
    <w:p>
      <w:pPr>
        <w:spacing w:line="360" w:lineRule="auto"/>
        <w:ind w:firstLine="480" w:firstLineChars="200"/>
        <w:outlineLvl w:val="2"/>
        <w:rPr>
          <w:rFonts w:hint="eastAsia" w:ascii="仿宋" w:hAnsi="仿宋" w:eastAsia="仿宋" w:cs="仿宋"/>
          <w:bCs/>
          <w:sz w:val="24"/>
        </w:rPr>
      </w:pPr>
      <w:r>
        <w:rPr>
          <w:rFonts w:hint="eastAsia" w:ascii="仿宋" w:hAnsi="仿宋" w:eastAsia="仿宋" w:cs="仿宋"/>
          <w:bCs/>
          <w:sz w:val="24"/>
        </w:rPr>
        <w:t>2、装饰材料符合设计要求及施工验收规范要求，基层板环保要求必须达到E1级、乳胶漆必须选用环保型；</w:t>
      </w:r>
    </w:p>
    <w:p>
      <w:pPr>
        <w:spacing w:line="360" w:lineRule="auto"/>
        <w:ind w:firstLine="480" w:firstLineChars="200"/>
        <w:outlineLvl w:val="2"/>
        <w:rPr>
          <w:rFonts w:hint="eastAsia" w:ascii="仿宋" w:hAnsi="仿宋" w:eastAsia="仿宋" w:cs="仿宋"/>
          <w:bCs/>
          <w:sz w:val="24"/>
        </w:rPr>
      </w:pPr>
      <w:r>
        <w:rPr>
          <w:rFonts w:hint="eastAsia" w:ascii="仿宋" w:hAnsi="仿宋" w:eastAsia="仿宋" w:cs="仿宋"/>
          <w:bCs/>
          <w:sz w:val="24"/>
        </w:rPr>
        <w:t>3、石材、仿地毯塑胶地板、墙地砖、成品木门、木质饰面、艺术涂料等外饰面材料规格、颜色、材质、表面处理方式须经发包人确认后采购，中标后综合单价不调整；</w:t>
      </w:r>
    </w:p>
    <w:p>
      <w:pPr>
        <w:spacing w:line="360" w:lineRule="auto"/>
        <w:ind w:firstLine="480" w:firstLineChars="200"/>
        <w:outlineLvl w:val="2"/>
        <w:rPr>
          <w:rFonts w:hint="eastAsia" w:ascii="仿宋" w:hAnsi="仿宋" w:eastAsia="仿宋" w:cs="仿宋"/>
          <w:bCs/>
          <w:sz w:val="24"/>
        </w:rPr>
      </w:pPr>
      <w:r>
        <w:rPr>
          <w:rFonts w:hint="eastAsia" w:ascii="仿宋" w:hAnsi="仿宋" w:eastAsia="仿宋" w:cs="仿宋"/>
          <w:bCs/>
          <w:sz w:val="24"/>
        </w:rPr>
        <w:t>4、石材、仿地毯塑胶地板、墙地砖等的分部分项工程，投标人在报价时，须将开关、插座等洞口开孔、修补费用计入综合单价和合价中，竣工结算时，招标人不另计此项费用；</w:t>
      </w:r>
    </w:p>
    <w:p>
      <w:pPr>
        <w:spacing w:line="360" w:lineRule="auto"/>
        <w:ind w:firstLine="480" w:firstLineChars="200"/>
        <w:outlineLvl w:val="2"/>
        <w:rPr>
          <w:rFonts w:hint="eastAsia" w:ascii="仿宋" w:hAnsi="仿宋" w:eastAsia="仿宋" w:cs="仿宋"/>
          <w:sz w:val="24"/>
        </w:rPr>
      </w:pPr>
      <w:r>
        <w:rPr>
          <w:rFonts w:hint="eastAsia" w:ascii="仿宋" w:hAnsi="仿宋" w:eastAsia="仿宋" w:cs="仿宋"/>
          <w:sz w:val="24"/>
        </w:rPr>
        <w:t>5、根据设计回复，灯膜吊的阻燃基层板层度按9mm~15mm考虑；</w:t>
      </w:r>
    </w:p>
    <w:p>
      <w:pPr>
        <w:spacing w:line="360" w:lineRule="auto"/>
        <w:ind w:firstLine="480" w:firstLineChars="200"/>
        <w:outlineLvl w:val="2"/>
        <w:rPr>
          <w:rFonts w:hint="eastAsia" w:ascii="仿宋" w:hAnsi="仿宋" w:eastAsia="仿宋" w:cs="仿宋"/>
          <w:sz w:val="24"/>
        </w:rPr>
      </w:pPr>
      <w:r>
        <w:rPr>
          <w:rFonts w:hint="eastAsia" w:ascii="仿宋" w:hAnsi="仿宋" w:eastAsia="仿宋" w:cs="仿宋"/>
          <w:sz w:val="24"/>
        </w:rPr>
        <w:t>6、地面找平层厚度根据现场实际情况，按照设计要求至一个高度，自行综合考虑考虑报价；</w:t>
      </w:r>
    </w:p>
    <w:p>
      <w:pPr>
        <w:spacing w:line="360" w:lineRule="auto"/>
        <w:ind w:firstLine="480" w:firstLineChars="200"/>
        <w:rPr>
          <w:rFonts w:hint="eastAsia" w:ascii="仿宋" w:hAnsi="仿宋" w:eastAsia="仿宋" w:cs="仿宋"/>
          <w:sz w:val="24"/>
        </w:rPr>
      </w:pPr>
      <w:r>
        <w:rPr>
          <w:rFonts w:hint="eastAsia" w:ascii="仿宋" w:hAnsi="仿宋" w:eastAsia="仿宋" w:cs="仿宋"/>
          <w:bCs/>
          <w:sz w:val="24"/>
        </w:rPr>
        <w:t>7、</w:t>
      </w:r>
      <w:r>
        <w:rPr>
          <w:rFonts w:hint="eastAsia" w:ascii="仿宋" w:hAnsi="仿宋" w:eastAsia="仿宋" w:cs="仿宋"/>
          <w:sz w:val="24"/>
        </w:rPr>
        <w:t>根据设计回复，不锈钢踢脚线做法需考虑木龙骨基层；</w:t>
      </w:r>
    </w:p>
    <w:p>
      <w:pPr>
        <w:spacing w:line="360" w:lineRule="auto"/>
        <w:ind w:firstLine="480" w:firstLineChars="200"/>
        <w:outlineLvl w:val="2"/>
        <w:rPr>
          <w:rFonts w:hint="eastAsia" w:ascii="仿宋" w:hAnsi="仿宋" w:eastAsia="仿宋" w:cs="仿宋"/>
          <w:sz w:val="24"/>
        </w:rPr>
      </w:pPr>
      <w:r>
        <w:rPr>
          <w:rFonts w:hint="eastAsia" w:ascii="仿宋" w:hAnsi="仿宋" w:eastAsia="仿宋" w:cs="仿宋"/>
          <w:sz w:val="24"/>
        </w:rPr>
        <w:t>8、根据设计回复，透光软膜厚度及透光率，按2mm、A级，透光率75%考虑；</w:t>
      </w:r>
    </w:p>
    <w:p>
      <w:pPr>
        <w:spacing w:line="360" w:lineRule="auto"/>
        <w:ind w:firstLine="480" w:firstLineChars="200"/>
        <w:outlineLvl w:val="2"/>
        <w:rPr>
          <w:rFonts w:hint="eastAsia" w:ascii="仿宋" w:hAnsi="仿宋" w:eastAsia="仿宋" w:cs="仿宋"/>
          <w:sz w:val="24"/>
        </w:rPr>
      </w:pPr>
      <w:r>
        <w:rPr>
          <w:rFonts w:hint="eastAsia" w:ascii="仿宋" w:hAnsi="仿宋" w:eastAsia="仿宋" w:cs="仿宋"/>
          <w:sz w:val="24"/>
        </w:rPr>
        <w:t>9、根据设计回复，三层走道（含电梯厅）墙面、顶棚涂料均需全部铲除后出新；</w:t>
      </w:r>
    </w:p>
    <w:p>
      <w:pPr>
        <w:spacing w:line="360" w:lineRule="auto"/>
        <w:ind w:firstLine="480" w:firstLineChars="200"/>
        <w:outlineLvl w:val="2"/>
        <w:rPr>
          <w:rFonts w:hint="eastAsia" w:ascii="仿宋" w:hAnsi="仿宋" w:eastAsia="仿宋" w:cs="仿宋"/>
          <w:sz w:val="24"/>
        </w:rPr>
      </w:pPr>
      <w:r>
        <w:rPr>
          <w:rFonts w:hint="eastAsia" w:ascii="仿宋" w:hAnsi="仿宋" w:eastAsia="仿宋" w:cs="仿宋"/>
          <w:sz w:val="24"/>
        </w:rPr>
        <w:t>10、根据设计回复，三层新砌墙体靠走道面踢脚线做法同现状踢脚线，颜色保持一致或按甲方要求。</w:t>
      </w:r>
    </w:p>
    <w:p>
      <w:pPr>
        <w:spacing w:line="360" w:lineRule="auto"/>
        <w:ind w:firstLine="480" w:firstLineChars="200"/>
        <w:outlineLvl w:val="2"/>
        <w:rPr>
          <w:rFonts w:hint="eastAsia" w:ascii="仿宋" w:hAnsi="仿宋" w:eastAsia="仿宋" w:cs="仿宋"/>
          <w:sz w:val="24"/>
        </w:rPr>
      </w:pPr>
      <w:r>
        <w:rPr>
          <w:rFonts w:hint="eastAsia" w:ascii="仿宋" w:hAnsi="仿宋" w:eastAsia="仿宋" w:cs="仿宋"/>
          <w:sz w:val="24"/>
        </w:rPr>
        <w:t>11、新砌砌块墙体，砌筑砂浆强度等级按M7.5考虑。</w:t>
      </w:r>
    </w:p>
    <w:p>
      <w:pPr>
        <w:spacing w:line="360" w:lineRule="auto"/>
        <w:ind w:left="482"/>
        <w:outlineLvl w:val="1"/>
        <w:rPr>
          <w:rFonts w:hint="eastAsia" w:ascii="仿宋" w:hAnsi="仿宋" w:eastAsia="仿宋" w:cs="仿宋"/>
          <w:b/>
          <w:sz w:val="24"/>
        </w:rPr>
      </w:pPr>
      <w:r>
        <w:rPr>
          <w:rFonts w:hint="eastAsia" w:ascii="仿宋" w:hAnsi="仿宋" w:eastAsia="仿宋" w:cs="仿宋"/>
          <w:b/>
          <w:sz w:val="24"/>
          <w:highlight w:val="lightGray"/>
        </w:rPr>
        <w:t>（四）</w:t>
      </w:r>
      <w:r>
        <w:rPr>
          <w:rFonts w:hint="eastAsia" w:ascii="仿宋" w:hAnsi="仿宋" w:eastAsia="仿宋" w:cs="仿宋"/>
          <w:b/>
          <w:sz w:val="24"/>
        </w:rPr>
        <w:t>安装工程</w:t>
      </w:r>
    </w:p>
    <w:p>
      <w:pPr>
        <w:numPr>
          <w:ilvl w:val="0"/>
          <w:numId w:val="1"/>
        </w:numPr>
        <w:spacing w:line="360" w:lineRule="auto"/>
        <w:ind w:firstLine="480" w:firstLineChars="200"/>
        <w:outlineLvl w:val="2"/>
        <w:rPr>
          <w:rFonts w:hint="eastAsia" w:ascii="仿宋" w:hAnsi="仿宋" w:eastAsia="仿宋" w:cs="仿宋"/>
          <w:sz w:val="24"/>
        </w:rPr>
      </w:pPr>
      <w:r>
        <w:rPr>
          <w:rFonts w:hint="eastAsia" w:ascii="仿宋" w:hAnsi="仿宋" w:eastAsia="仿宋" w:cs="仿宋"/>
          <w:bCs/>
          <w:sz w:val="24"/>
        </w:rPr>
        <w:t>就近接入原配电箱的回路，每个回路配管、配线均预留5m</w:t>
      </w:r>
      <w:r>
        <w:rPr>
          <w:rFonts w:hint="eastAsia" w:ascii="仿宋" w:hAnsi="仿宋" w:eastAsia="仿宋" w:cs="仿宋"/>
          <w:sz w:val="24"/>
        </w:rPr>
        <w:t>。</w:t>
      </w:r>
    </w:p>
    <w:p>
      <w:pPr>
        <w:numPr>
          <w:ilvl w:val="0"/>
          <w:numId w:val="1"/>
        </w:numPr>
        <w:spacing w:line="360" w:lineRule="auto"/>
        <w:ind w:firstLine="480" w:firstLineChars="200"/>
        <w:outlineLvl w:val="2"/>
        <w:rPr>
          <w:rFonts w:hint="eastAsia" w:ascii="仿宋" w:hAnsi="仿宋" w:eastAsia="仿宋" w:cs="仿宋"/>
          <w:sz w:val="24"/>
        </w:rPr>
      </w:pPr>
      <w:r>
        <w:rPr>
          <w:rFonts w:hint="eastAsia" w:ascii="仿宋" w:hAnsi="仿宋" w:eastAsia="仿宋" w:cs="仿宋"/>
          <w:sz w:val="24"/>
        </w:rPr>
        <w:t>安装部分拆除投标人自行综合考虑至电气工程拆除部分中，结算不予调整。</w:t>
      </w:r>
    </w:p>
    <w:p>
      <w:pPr>
        <w:numPr>
          <w:ilvl w:val="0"/>
          <w:numId w:val="1"/>
        </w:numPr>
        <w:spacing w:line="360" w:lineRule="auto"/>
        <w:ind w:firstLine="480" w:firstLineChars="200"/>
        <w:outlineLvl w:val="2"/>
        <w:rPr>
          <w:rFonts w:hint="eastAsia" w:ascii="仿宋" w:hAnsi="仿宋" w:eastAsia="仿宋" w:cs="仿宋"/>
          <w:sz w:val="24"/>
        </w:rPr>
      </w:pPr>
      <w:r>
        <w:rPr>
          <w:rFonts w:hint="eastAsia" w:ascii="仿宋" w:hAnsi="仿宋" w:eastAsia="仿宋" w:cs="仿宋"/>
          <w:sz w:val="24"/>
        </w:rPr>
        <w:t>监控设备由甲方提供，本次仅计取安装费。</w:t>
      </w:r>
    </w:p>
    <w:p>
      <w:pPr>
        <w:spacing w:line="360" w:lineRule="auto"/>
        <w:outlineLvl w:val="0"/>
        <w:rPr>
          <w:rFonts w:hint="eastAsia" w:ascii="楷体" w:hAnsi="楷体" w:eastAsia="楷体" w:cs="楷体"/>
          <w:b/>
          <w:bCs/>
          <w:sz w:val="24"/>
        </w:rPr>
      </w:pPr>
      <w:r>
        <w:rPr>
          <w:rFonts w:hint="eastAsia" w:ascii="楷体" w:hAnsi="楷体" w:eastAsia="楷体" w:cs="楷体"/>
          <w:b/>
          <w:bCs/>
          <w:sz w:val="24"/>
        </w:rPr>
        <w:t>八、材料（设备）要求</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招标人对材料有品牌要求的按品牌报价；没有品牌要求的材料自行报价，中标后不调整。投标人在投标报价中必须注明主要材料规格、品牌、型号，如进场材料与投标时不符，招标人可另行采购，中标人承担相应的材料及采购费用。工程中所用材料必须符合国家质量验收标准。</w:t>
      </w:r>
    </w:p>
    <w:p>
      <w:pPr>
        <w:spacing w:line="360" w:lineRule="auto"/>
        <w:rPr>
          <w:rFonts w:hint="eastAsia" w:ascii="仿宋" w:hAnsi="仿宋" w:eastAsia="仿宋" w:cs="仿宋"/>
          <w:sz w:val="24"/>
        </w:rPr>
      </w:pPr>
      <w:r>
        <w:rPr>
          <w:rFonts w:ascii="仿宋" w:hAnsi="仿宋" w:eastAsia="仿宋" w:cs="仿宋"/>
          <w:sz w:val="24"/>
        </w:rPr>
        <w:t>主要材料采用品牌或要求如下：</w:t>
      </w:r>
    </w:p>
    <w:p>
      <w:pPr>
        <w:numPr>
          <w:ilvl w:val="0"/>
          <w:numId w:val="2"/>
        </w:numPr>
        <w:spacing w:line="360" w:lineRule="auto"/>
        <w:ind w:firstLine="480" w:firstLineChars="200"/>
        <w:rPr>
          <w:rFonts w:hint="eastAsia" w:ascii="仿宋" w:hAnsi="仿宋" w:eastAsia="仿宋" w:cs="仿宋"/>
          <w:sz w:val="24"/>
        </w:rPr>
      </w:pPr>
      <w:r>
        <w:rPr>
          <w:rFonts w:ascii="仿宋" w:hAnsi="仿宋" w:eastAsia="仿宋" w:cs="仿宋"/>
          <w:sz w:val="24"/>
        </w:rPr>
        <w:t>油漆：立邦、华润、多乐士或同档次品牌</w:t>
      </w: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2、艺术涂料：三棵树、雅仕利、多乐士</w:t>
      </w:r>
      <w:r>
        <w:rPr>
          <w:rFonts w:ascii="仿宋" w:hAnsi="仿宋" w:eastAsia="仿宋" w:cs="仿宋"/>
          <w:sz w:val="24"/>
        </w:rPr>
        <w:t>或同档次品牌</w:t>
      </w: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w:t>
      </w:r>
      <w:r>
        <w:rPr>
          <w:rFonts w:ascii="仿宋" w:hAnsi="仿宋" w:eastAsia="仿宋" w:cs="仿宋"/>
          <w:sz w:val="24"/>
        </w:rPr>
        <w:t>、龙骨：龙牌、可耐福、圣戈班或同档次品牌</w:t>
      </w: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4</w:t>
      </w:r>
      <w:r>
        <w:rPr>
          <w:rFonts w:ascii="仿宋" w:hAnsi="仿宋" w:eastAsia="仿宋" w:cs="仿宋"/>
          <w:sz w:val="24"/>
        </w:rPr>
        <w:t>、板材：兔宝宝、龙牌、可耐福或同档次品牌</w:t>
      </w: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5、木饰面：莫干山、千年舟、伟业</w:t>
      </w:r>
      <w:r>
        <w:rPr>
          <w:rFonts w:ascii="仿宋" w:hAnsi="仿宋" w:eastAsia="仿宋" w:cs="仿宋"/>
          <w:sz w:val="24"/>
        </w:rPr>
        <w:t>或同档次品牌</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6</w:t>
      </w:r>
      <w:r>
        <w:rPr>
          <w:rFonts w:ascii="仿宋" w:hAnsi="仿宋" w:eastAsia="仿宋" w:cs="仿宋"/>
          <w:sz w:val="24"/>
        </w:rPr>
        <w:t>、地砖、墙砖：冠军、斯米克、东鹏或同档次品牌</w:t>
      </w: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7</w:t>
      </w:r>
      <w:r>
        <w:rPr>
          <w:rFonts w:ascii="仿宋" w:hAnsi="仿宋" w:eastAsia="仿宋" w:cs="仿宋"/>
          <w:sz w:val="24"/>
        </w:rPr>
        <w:t>、玻璃：吴江南玻、芜湖信义、昆山台玻、旗滨或同档次品牌</w:t>
      </w: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8</w:t>
      </w:r>
      <w:r>
        <w:rPr>
          <w:rFonts w:ascii="仿宋" w:hAnsi="仿宋" w:eastAsia="仿宋" w:cs="仿宋"/>
          <w:sz w:val="24"/>
        </w:rPr>
        <w:t>、型材：亚铝、兴发、坚美或同档次品牌</w:t>
      </w: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9</w:t>
      </w:r>
      <w:r>
        <w:rPr>
          <w:rFonts w:ascii="仿宋" w:hAnsi="仿宋" w:eastAsia="仿宋" w:cs="仿宋"/>
          <w:sz w:val="24"/>
        </w:rPr>
        <w:t>、铝单板：西南铝、美铝渤铝、瑞闽铝业或同档次品牌</w:t>
      </w: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10</w:t>
      </w:r>
      <w:r>
        <w:rPr>
          <w:rFonts w:ascii="仿宋" w:hAnsi="仿宋" w:eastAsia="仿宋" w:cs="仿宋"/>
          <w:sz w:val="24"/>
        </w:rPr>
        <w:t>、钢材：宝钢、马钢、鞍钢或同档次品牌</w:t>
      </w: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11</w:t>
      </w:r>
      <w:r>
        <w:rPr>
          <w:rFonts w:ascii="仿宋" w:hAnsi="仿宋" w:eastAsia="仿宋" w:cs="仿宋"/>
          <w:sz w:val="24"/>
        </w:rPr>
        <w:t>、门窗及五金件：坚朗、合和、GMT或同档次品牌</w:t>
      </w: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12</w:t>
      </w:r>
      <w:r>
        <w:rPr>
          <w:rFonts w:ascii="仿宋" w:hAnsi="仿宋" w:eastAsia="仿宋" w:cs="仿宋"/>
          <w:sz w:val="24"/>
        </w:rPr>
        <w:t>、地板：扬子、大自然、圣象或同档次品牌</w:t>
      </w: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13</w:t>
      </w:r>
      <w:r>
        <w:rPr>
          <w:rFonts w:ascii="仿宋" w:hAnsi="仿宋" w:eastAsia="仿宋" w:cs="仿宋"/>
          <w:sz w:val="24"/>
        </w:rPr>
        <w:t>、木质门：美心、大自然、华鹤或同档次品牌</w:t>
      </w:r>
      <w:r>
        <w:rPr>
          <w:rFonts w:hint="eastAsia" w:ascii="仿宋" w:hAnsi="仿宋" w:eastAsia="仿宋" w:cs="仿宋"/>
          <w:sz w:val="24"/>
        </w:rPr>
        <w:t>；</w:t>
      </w:r>
    </w:p>
    <w:p>
      <w:pPr>
        <w:spacing w:line="360" w:lineRule="auto"/>
        <w:ind w:firstLine="480" w:firstLineChars="200"/>
        <w:rPr>
          <w:rFonts w:hint="eastAsia" w:ascii="仿宋" w:hAnsi="仿宋" w:eastAsia="宋体" w:cs="仿宋"/>
          <w:sz w:val="24"/>
        </w:rPr>
      </w:pPr>
      <w:r>
        <w:rPr>
          <w:rFonts w:hint="eastAsia" w:ascii="仿宋" w:hAnsi="仿宋" w:eastAsia="仿宋" w:cs="仿宋"/>
          <w:sz w:val="24"/>
        </w:rPr>
        <w:t>14、墙布：</w:t>
      </w:r>
      <w:r>
        <w:rPr>
          <w:rFonts w:ascii="仿宋" w:hAnsi="仿宋" w:eastAsia="仿宋" w:cs="仿宋"/>
          <w:sz w:val="24"/>
        </w:rPr>
        <w:t>欧雅</w:t>
      </w:r>
      <w:r>
        <w:rPr>
          <w:rFonts w:hint="eastAsia" w:ascii="仿宋" w:hAnsi="仿宋" w:eastAsia="仿宋" w:cs="仿宋"/>
          <w:sz w:val="24"/>
        </w:rPr>
        <w:t>、玉兰、爱舍</w:t>
      </w:r>
      <w:r>
        <w:rPr>
          <w:rFonts w:ascii="仿宋" w:hAnsi="仿宋" w:eastAsia="仿宋" w:cs="仿宋"/>
          <w:sz w:val="24"/>
        </w:rPr>
        <w:t>或同档次品牌</w:t>
      </w: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15、风管机：美的、海尔、格力</w:t>
      </w:r>
      <w:r>
        <w:rPr>
          <w:rFonts w:ascii="仿宋" w:hAnsi="仿宋" w:eastAsia="仿宋" w:cs="仿宋"/>
          <w:sz w:val="24"/>
        </w:rPr>
        <w:t>或同档次品牌</w:t>
      </w: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16、电缆、电线：远东、宝胜、上上、江南</w:t>
      </w:r>
      <w:r>
        <w:rPr>
          <w:rFonts w:ascii="仿宋" w:hAnsi="仿宋" w:eastAsia="仿宋" w:cs="仿宋"/>
          <w:sz w:val="24"/>
        </w:rPr>
        <w:t>或同档次品牌</w:t>
      </w: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17、开关、插座面板：西门子、施耐德、罗格朗、松下</w:t>
      </w:r>
      <w:r>
        <w:rPr>
          <w:rFonts w:ascii="仿宋" w:hAnsi="仿宋" w:eastAsia="仿宋" w:cs="仿宋"/>
          <w:sz w:val="24"/>
        </w:rPr>
        <w:t>或同档次品牌</w:t>
      </w: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18、照明灯具：飞利浦、欧普、雷士</w:t>
      </w:r>
      <w:r>
        <w:rPr>
          <w:rFonts w:ascii="仿宋" w:hAnsi="仿宋" w:eastAsia="仿宋" w:cs="仿宋"/>
          <w:sz w:val="24"/>
        </w:rPr>
        <w:t>或同档次品牌</w:t>
      </w: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rPr>
      </w:pPr>
    </w:p>
    <w:sectPr>
      <w:footerReference r:id="rId3" w:type="default"/>
      <w:pgSz w:w="11906" w:h="16838"/>
      <w:pgMar w:top="1134" w:right="1417" w:bottom="113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仿宋简体">
    <w:altName w:val="宋体"/>
    <w:panose1 w:val="00000000000000000000"/>
    <w:charset w:val="86"/>
    <w:family w:val="auto"/>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楷体" w:hAnsi="楷体" w:eastAsia="楷体" w:cs="楷体"/>
                              <w:b/>
                              <w:bCs/>
                            </w:rPr>
                          </w:pPr>
                          <w:r>
                            <w:rPr>
                              <w:rFonts w:hint="eastAsia" w:ascii="楷体" w:hAnsi="楷体" w:eastAsia="楷体" w:cs="楷体"/>
                              <w:b/>
                              <w:bCs/>
                            </w:rPr>
                            <w:t xml:space="preserve">第 </w:t>
                          </w:r>
                          <w:r>
                            <w:rPr>
                              <w:rFonts w:hint="eastAsia" w:ascii="楷体" w:hAnsi="楷体" w:eastAsia="楷体" w:cs="楷体"/>
                              <w:b/>
                              <w:bCs/>
                            </w:rPr>
                            <w:fldChar w:fldCharType="begin"/>
                          </w:r>
                          <w:r>
                            <w:rPr>
                              <w:rFonts w:hint="eastAsia" w:ascii="楷体" w:hAnsi="楷体" w:eastAsia="楷体" w:cs="楷体"/>
                              <w:b/>
                              <w:bCs/>
                            </w:rPr>
                            <w:instrText xml:space="preserve"> PAGE  \* MERGEFORMAT </w:instrText>
                          </w:r>
                          <w:r>
                            <w:rPr>
                              <w:rFonts w:hint="eastAsia" w:ascii="楷体" w:hAnsi="楷体" w:eastAsia="楷体" w:cs="楷体"/>
                              <w:b/>
                              <w:bCs/>
                            </w:rPr>
                            <w:fldChar w:fldCharType="separate"/>
                          </w:r>
                          <w:r>
                            <w:rPr>
                              <w:rFonts w:hint="eastAsia" w:ascii="楷体" w:hAnsi="楷体" w:eastAsia="楷体" w:cs="楷体"/>
                              <w:b/>
                              <w:bCs/>
                            </w:rPr>
                            <w:t>1</w:t>
                          </w:r>
                          <w:r>
                            <w:rPr>
                              <w:rFonts w:hint="eastAsia" w:ascii="楷体" w:hAnsi="楷体" w:eastAsia="楷体" w:cs="楷体"/>
                              <w:b/>
                              <w:bCs/>
                            </w:rPr>
                            <w:fldChar w:fldCharType="end"/>
                          </w:r>
                          <w:r>
                            <w:rPr>
                              <w:rFonts w:hint="eastAsia" w:ascii="楷体" w:hAnsi="楷体" w:eastAsia="楷体" w:cs="楷体"/>
                              <w:b/>
                              <w:bCs/>
                            </w:rPr>
                            <w:t xml:space="preserve"> 页 共 </w:t>
                          </w:r>
                          <w:r>
                            <w:rPr>
                              <w:rFonts w:hint="eastAsia" w:ascii="楷体" w:hAnsi="楷体" w:eastAsia="楷体" w:cs="楷体"/>
                              <w:b/>
                              <w:bCs/>
                            </w:rPr>
                            <w:fldChar w:fldCharType="begin"/>
                          </w:r>
                          <w:r>
                            <w:rPr>
                              <w:rFonts w:hint="eastAsia" w:ascii="楷体" w:hAnsi="楷体" w:eastAsia="楷体" w:cs="楷体"/>
                              <w:b/>
                              <w:bCs/>
                            </w:rPr>
                            <w:instrText xml:space="preserve"> NUMPAGES  \* MERGEFORMAT </w:instrText>
                          </w:r>
                          <w:r>
                            <w:rPr>
                              <w:rFonts w:hint="eastAsia" w:ascii="楷体" w:hAnsi="楷体" w:eastAsia="楷体" w:cs="楷体"/>
                              <w:b/>
                              <w:bCs/>
                            </w:rPr>
                            <w:fldChar w:fldCharType="separate"/>
                          </w:r>
                          <w:r>
                            <w:rPr>
                              <w:rFonts w:hint="eastAsia" w:ascii="楷体" w:hAnsi="楷体" w:eastAsia="楷体" w:cs="楷体"/>
                              <w:b/>
                              <w:bCs/>
                            </w:rPr>
                            <w:t>16</w:t>
                          </w:r>
                          <w:r>
                            <w:rPr>
                              <w:rFonts w:hint="eastAsia" w:ascii="楷体" w:hAnsi="楷体" w:eastAsia="楷体" w:cs="楷体"/>
                              <w:b/>
                              <w:bCs/>
                            </w:rPr>
                            <w:fldChar w:fldCharType="end"/>
                          </w:r>
                          <w:r>
                            <w:rPr>
                              <w:rFonts w:hint="eastAsia" w:ascii="楷体" w:hAnsi="楷体" w:eastAsia="楷体" w:cs="楷体"/>
                              <w:b/>
                              <w:bCs/>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rPr>
                        <w:rFonts w:hint="eastAsia" w:ascii="楷体" w:hAnsi="楷体" w:eastAsia="楷体" w:cs="楷体"/>
                        <w:b/>
                        <w:bCs/>
                      </w:rPr>
                    </w:pPr>
                    <w:r>
                      <w:rPr>
                        <w:rFonts w:hint="eastAsia" w:ascii="楷体" w:hAnsi="楷体" w:eastAsia="楷体" w:cs="楷体"/>
                        <w:b/>
                        <w:bCs/>
                      </w:rPr>
                      <w:t xml:space="preserve">第 </w:t>
                    </w:r>
                    <w:r>
                      <w:rPr>
                        <w:rFonts w:hint="eastAsia" w:ascii="楷体" w:hAnsi="楷体" w:eastAsia="楷体" w:cs="楷体"/>
                        <w:b/>
                        <w:bCs/>
                      </w:rPr>
                      <w:fldChar w:fldCharType="begin"/>
                    </w:r>
                    <w:r>
                      <w:rPr>
                        <w:rFonts w:hint="eastAsia" w:ascii="楷体" w:hAnsi="楷体" w:eastAsia="楷体" w:cs="楷体"/>
                        <w:b/>
                        <w:bCs/>
                      </w:rPr>
                      <w:instrText xml:space="preserve"> PAGE  \* MERGEFORMAT </w:instrText>
                    </w:r>
                    <w:r>
                      <w:rPr>
                        <w:rFonts w:hint="eastAsia" w:ascii="楷体" w:hAnsi="楷体" w:eastAsia="楷体" w:cs="楷体"/>
                        <w:b/>
                        <w:bCs/>
                      </w:rPr>
                      <w:fldChar w:fldCharType="separate"/>
                    </w:r>
                    <w:r>
                      <w:rPr>
                        <w:rFonts w:hint="eastAsia" w:ascii="楷体" w:hAnsi="楷体" w:eastAsia="楷体" w:cs="楷体"/>
                        <w:b/>
                        <w:bCs/>
                      </w:rPr>
                      <w:t>1</w:t>
                    </w:r>
                    <w:r>
                      <w:rPr>
                        <w:rFonts w:hint="eastAsia" w:ascii="楷体" w:hAnsi="楷体" w:eastAsia="楷体" w:cs="楷体"/>
                        <w:b/>
                        <w:bCs/>
                      </w:rPr>
                      <w:fldChar w:fldCharType="end"/>
                    </w:r>
                    <w:r>
                      <w:rPr>
                        <w:rFonts w:hint="eastAsia" w:ascii="楷体" w:hAnsi="楷体" w:eastAsia="楷体" w:cs="楷体"/>
                        <w:b/>
                        <w:bCs/>
                      </w:rPr>
                      <w:t xml:space="preserve"> 页 共 </w:t>
                    </w:r>
                    <w:r>
                      <w:rPr>
                        <w:rFonts w:hint="eastAsia" w:ascii="楷体" w:hAnsi="楷体" w:eastAsia="楷体" w:cs="楷体"/>
                        <w:b/>
                        <w:bCs/>
                      </w:rPr>
                      <w:fldChar w:fldCharType="begin"/>
                    </w:r>
                    <w:r>
                      <w:rPr>
                        <w:rFonts w:hint="eastAsia" w:ascii="楷体" w:hAnsi="楷体" w:eastAsia="楷体" w:cs="楷体"/>
                        <w:b/>
                        <w:bCs/>
                      </w:rPr>
                      <w:instrText xml:space="preserve"> NUMPAGES  \* MERGEFORMAT </w:instrText>
                    </w:r>
                    <w:r>
                      <w:rPr>
                        <w:rFonts w:hint="eastAsia" w:ascii="楷体" w:hAnsi="楷体" w:eastAsia="楷体" w:cs="楷体"/>
                        <w:b/>
                        <w:bCs/>
                      </w:rPr>
                      <w:fldChar w:fldCharType="separate"/>
                    </w:r>
                    <w:r>
                      <w:rPr>
                        <w:rFonts w:hint="eastAsia" w:ascii="楷体" w:hAnsi="楷体" w:eastAsia="楷体" w:cs="楷体"/>
                        <w:b/>
                        <w:bCs/>
                      </w:rPr>
                      <w:t>16</w:t>
                    </w:r>
                    <w:r>
                      <w:rPr>
                        <w:rFonts w:hint="eastAsia" w:ascii="楷体" w:hAnsi="楷体" w:eastAsia="楷体" w:cs="楷体"/>
                        <w:b/>
                        <w:bCs/>
                      </w:rPr>
                      <w:fldChar w:fldCharType="end"/>
                    </w:r>
                    <w:r>
                      <w:rPr>
                        <w:rFonts w:hint="eastAsia" w:ascii="楷体" w:hAnsi="楷体" w:eastAsia="楷体" w:cs="楷体"/>
                        <w:b/>
                        <w:bCs/>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D27F0E"/>
    <w:multiLevelType w:val="singleLevel"/>
    <w:tmpl w:val="C0D27F0E"/>
    <w:lvl w:ilvl="0" w:tentative="0">
      <w:start w:val="1"/>
      <w:numFmt w:val="decimal"/>
      <w:suff w:val="nothing"/>
      <w:lvlText w:val="%1、"/>
      <w:lvlJc w:val="left"/>
    </w:lvl>
  </w:abstractNum>
  <w:abstractNum w:abstractNumId="1">
    <w:nsid w:val="CCFC1413"/>
    <w:multiLevelType w:val="singleLevel"/>
    <w:tmpl w:val="CCFC1413"/>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mYThhMjMwYmE4ZjcyZWFlYjdkZjA2M2ZlOTA0MjcifQ=="/>
  </w:docVars>
  <w:rsids>
    <w:rsidRoot w:val="002650EE"/>
    <w:rsid w:val="002650EE"/>
    <w:rsid w:val="006C55EA"/>
    <w:rsid w:val="00845F0C"/>
    <w:rsid w:val="00916B61"/>
    <w:rsid w:val="0092071C"/>
    <w:rsid w:val="00A12741"/>
    <w:rsid w:val="032A4C70"/>
    <w:rsid w:val="04E1216C"/>
    <w:rsid w:val="054C612B"/>
    <w:rsid w:val="057B7A05"/>
    <w:rsid w:val="08556EC6"/>
    <w:rsid w:val="0865209F"/>
    <w:rsid w:val="08EE7284"/>
    <w:rsid w:val="0A0975CA"/>
    <w:rsid w:val="0A3A3C73"/>
    <w:rsid w:val="0AA255CA"/>
    <w:rsid w:val="0B612388"/>
    <w:rsid w:val="0B886307"/>
    <w:rsid w:val="0BBF6171"/>
    <w:rsid w:val="0C791B6C"/>
    <w:rsid w:val="0D772855"/>
    <w:rsid w:val="0E855450"/>
    <w:rsid w:val="10C60F15"/>
    <w:rsid w:val="116457F1"/>
    <w:rsid w:val="11F65E2D"/>
    <w:rsid w:val="12410FF3"/>
    <w:rsid w:val="13285027"/>
    <w:rsid w:val="134A0A16"/>
    <w:rsid w:val="138C068C"/>
    <w:rsid w:val="144E3EED"/>
    <w:rsid w:val="1662127D"/>
    <w:rsid w:val="1669093C"/>
    <w:rsid w:val="16933338"/>
    <w:rsid w:val="174A1CAB"/>
    <w:rsid w:val="17782401"/>
    <w:rsid w:val="182A472E"/>
    <w:rsid w:val="18B01158"/>
    <w:rsid w:val="19187CDC"/>
    <w:rsid w:val="19BB08C0"/>
    <w:rsid w:val="19DF6872"/>
    <w:rsid w:val="1AB174FA"/>
    <w:rsid w:val="1AEF45DC"/>
    <w:rsid w:val="1B374133"/>
    <w:rsid w:val="1C2376BB"/>
    <w:rsid w:val="1CA64B79"/>
    <w:rsid w:val="1CD31114"/>
    <w:rsid w:val="1E4F5A7B"/>
    <w:rsid w:val="1F334A54"/>
    <w:rsid w:val="20241274"/>
    <w:rsid w:val="207D4F96"/>
    <w:rsid w:val="208732AA"/>
    <w:rsid w:val="20D3029D"/>
    <w:rsid w:val="211D4CAB"/>
    <w:rsid w:val="2142018C"/>
    <w:rsid w:val="21472A39"/>
    <w:rsid w:val="2152325D"/>
    <w:rsid w:val="22F31F36"/>
    <w:rsid w:val="234E08D4"/>
    <w:rsid w:val="23933C09"/>
    <w:rsid w:val="248E76E5"/>
    <w:rsid w:val="24911526"/>
    <w:rsid w:val="267B2381"/>
    <w:rsid w:val="269D38EB"/>
    <w:rsid w:val="26E47778"/>
    <w:rsid w:val="272849EF"/>
    <w:rsid w:val="274771BF"/>
    <w:rsid w:val="278E13C2"/>
    <w:rsid w:val="283A65CF"/>
    <w:rsid w:val="29051210"/>
    <w:rsid w:val="29BB3FBD"/>
    <w:rsid w:val="2A5E38F6"/>
    <w:rsid w:val="2B1E0CAF"/>
    <w:rsid w:val="2BE94E19"/>
    <w:rsid w:val="2BF6398E"/>
    <w:rsid w:val="2C4E1120"/>
    <w:rsid w:val="2E1A575D"/>
    <w:rsid w:val="30A752A2"/>
    <w:rsid w:val="30F20ABF"/>
    <w:rsid w:val="34A13659"/>
    <w:rsid w:val="34B15BC4"/>
    <w:rsid w:val="35A45D9F"/>
    <w:rsid w:val="36112898"/>
    <w:rsid w:val="36CC2CDD"/>
    <w:rsid w:val="37D56B99"/>
    <w:rsid w:val="37F039D3"/>
    <w:rsid w:val="38D539D2"/>
    <w:rsid w:val="39930009"/>
    <w:rsid w:val="3A202A16"/>
    <w:rsid w:val="3A323E2F"/>
    <w:rsid w:val="3A377697"/>
    <w:rsid w:val="3A72788A"/>
    <w:rsid w:val="3AFA0DF0"/>
    <w:rsid w:val="3B5D137F"/>
    <w:rsid w:val="3B8763FC"/>
    <w:rsid w:val="3B9C3C56"/>
    <w:rsid w:val="3BBA56BE"/>
    <w:rsid w:val="3C741072"/>
    <w:rsid w:val="3CAD5928"/>
    <w:rsid w:val="3CCE71EB"/>
    <w:rsid w:val="3D3F6F04"/>
    <w:rsid w:val="3D5D61FE"/>
    <w:rsid w:val="3DE577A0"/>
    <w:rsid w:val="3EA15F71"/>
    <w:rsid w:val="3F0F1F60"/>
    <w:rsid w:val="3F5F3233"/>
    <w:rsid w:val="40210BCD"/>
    <w:rsid w:val="40AC7DA1"/>
    <w:rsid w:val="415B7AD6"/>
    <w:rsid w:val="422341D9"/>
    <w:rsid w:val="42CB6BCE"/>
    <w:rsid w:val="43210EE4"/>
    <w:rsid w:val="43686B13"/>
    <w:rsid w:val="43E44A91"/>
    <w:rsid w:val="440A5A5D"/>
    <w:rsid w:val="46252A99"/>
    <w:rsid w:val="46EE655F"/>
    <w:rsid w:val="475C1A11"/>
    <w:rsid w:val="49E519A7"/>
    <w:rsid w:val="4AF550E3"/>
    <w:rsid w:val="4B514C52"/>
    <w:rsid w:val="4C405C0A"/>
    <w:rsid w:val="4CF97A80"/>
    <w:rsid w:val="4D9C7AE5"/>
    <w:rsid w:val="4E4C4C5E"/>
    <w:rsid w:val="4ECD20E2"/>
    <w:rsid w:val="4EDB463D"/>
    <w:rsid w:val="4FCA4E53"/>
    <w:rsid w:val="504E5973"/>
    <w:rsid w:val="50875A31"/>
    <w:rsid w:val="50C636F7"/>
    <w:rsid w:val="50E278DA"/>
    <w:rsid w:val="517F4A6D"/>
    <w:rsid w:val="51A776F8"/>
    <w:rsid w:val="51B75C70"/>
    <w:rsid w:val="51CD2963"/>
    <w:rsid w:val="526D37FE"/>
    <w:rsid w:val="53DE2FC6"/>
    <w:rsid w:val="53E22A2B"/>
    <w:rsid w:val="53E35FEF"/>
    <w:rsid w:val="54827E01"/>
    <w:rsid w:val="54B9310D"/>
    <w:rsid w:val="54CF51E4"/>
    <w:rsid w:val="55352AEA"/>
    <w:rsid w:val="5544170C"/>
    <w:rsid w:val="558F7F2F"/>
    <w:rsid w:val="56665134"/>
    <w:rsid w:val="568F468B"/>
    <w:rsid w:val="57C50C1A"/>
    <w:rsid w:val="58EF2E89"/>
    <w:rsid w:val="58FF53CC"/>
    <w:rsid w:val="5A186916"/>
    <w:rsid w:val="5A8E1542"/>
    <w:rsid w:val="5AA1498D"/>
    <w:rsid w:val="5B137AA1"/>
    <w:rsid w:val="5B231846"/>
    <w:rsid w:val="5B7025B1"/>
    <w:rsid w:val="5C182A2D"/>
    <w:rsid w:val="5C187E72"/>
    <w:rsid w:val="5CA24878"/>
    <w:rsid w:val="5D6677C8"/>
    <w:rsid w:val="5E165F0E"/>
    <w:rsid w:val="5E6526B6"/>
    <w:rsid w:val="5F04373C"/>
    <w:rsid w:val="5F8A060D"/>
    <w:rsid w:val="60C54A41"/>
    <w:rsid w:val="60EA792E"/>
    <w:rsid w:val="62943029"/>
    <w:rsid w:val="6363145F"/>
    <w:rsid w:val="65C2726B"/>
    <w:rsid w:val="660C0C39"/>
    <w:rsid w:val="66E441FE"/>
    <w:rsid w:val="671E52C5"/>
    <w:rsid w:val="682E35D8"/>
    <w:rsid w:val="68427808"/>
    <w:rsid w:val="686B482C"/>
    <w:rsid w:val="68AC0288"/>
    <w:rsid w:val="68EA0FE8"/>
    <w:rsid w:val="68F567FA"/>
    <w:rsid w:val="68F872BA"/>
    <w:rsid w:val="69B54713"/>
    <w:rsid w:val="6A264036"/>
    <w:rsid w:val="6A4C6450"/>
    <w:rsid w:val="6B0D1266"/>
    <w:rsid w:val="6B1C1E0E"/>
    <w:rsid w:val="6B234F4A"/>
    <w:rsid w:val="6BA42804"/>
    <w:rsid w:val="6D19400E"/>
    <w:rsid w:val="6F20011E"/>
    <w:rsid w:val="6F514424"/>
    <w:rsid w:val="71F13192"/>
    <w:rsid w:val="72477989"/>
    <w:rsid w:val="729B5D0E"/>
    <w:rsid w:val="72BB1F0C"/>
    <w:rsid w:val="73A87A36"/>
    <w:rsid w:val="74AD76E9"/>
    <w:rsid w:val="75061B64"/>
    <w:rsid w:val="758923E0"/>
    <w:rsid w:val="75AA6179"/>
    <w:rsid w:val="75E6444D"/>
    <w:rsid w:val="761027F7"/>
    <w:rsid w:val="77560455"/>
    <w:rsid w:val="78461BB9"/>
    <w:rsid w:val="792C76C0"/>
    <w:rsid w:val="79B168D9"/>
    <w:rsid w:val="7B1152BB"/>
    <w:rsid w:val="7B33502A"/>
    <w:rsid w:val="7C400E00"/>
    <w:rsid w:val="7C7A50A1"/>
    <w:rsid w:val="7DAA49A0"/>
    <w:rsid w:val="7DC216A3"/>
    <w:rsid w:val="7E955E57"/>
    <w:rsid w:val="7EC620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unhideWhenUsed/>
    <w:qFormat/>
    <w:uiPriority w:val="0"/>
    <w:pPr>
      <w:keepNext/>
      <w:keepLines/>
      <w:spacing w:before="260" w:after="260" w:line="413" w:lineRule="auto"/>
      <w:outlineLvl w:val="1"/>
    </w:pPr>
    <w:rPr>
      <w:rFonts w:ascii="Arial" w:hAnsi="Arial" w:eastAsia="黑体"/>
      <w:b/>
      <w:sz w:val="32"/>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autoRedefine/>
    <w:qFormat/>
    <w:uiPriority w:val="0"/>
    <w:pPr>
      <w:spacing w:beforeAutospacing="1" w:afterAutospacing="1"/>
      <w:jc w:val="left"/>
    </w:pPr>
    <w:rPr>
      <w:rFonts w:cs="Times New Roman"/>
      <w:kern w:val="0"/>
      <w:sz w:val="24"/>
    </w:rPr>
  </w:style>
  <w:style w:type="paragraph" w:customStyle="1" w:styleId="8">
    <w:name w:val="[Normal]"/>
    <w:autoRedefine/>
    <w:qFormat/>
    <w:uiPriority w:val="0"/>
    <w:rPr>
      <w:rFonts w:ascii="方正仿宋简体" w:hAnsi="方正仿宋简体" w:eastAsia="方正仿宋简体" w:cs="Courier New"/>
      <w:sz w:val="24"/>
      <w:szCs w:val="22"/>
      <w:lang w:val="zh-CN" w:eastAsia="zh-CN" w:bidi="ar-SA"/>
    </w:rPr>
  </w:style>
  <w:style w:type="character" w:customStyle="1" w:styleId="9">
    <w:name w:val="font51"/>
    <w:basedOn w:val="7"/>
    <w:autoRedefine/>
    <w:qFormat/>
    <w:uiPriority w:val="0"/>
    <w:rPr>
      <w:rFonts w:hint="eastAsia" w:ascii="宋体" w:hAnsi="宋体" w:eastAsia="宋体" w:cs="宋体"/>
      <w:color w:val="000000"/>
      <w:sz w:val="21"/>
      <w:szCs w:val="21"/>
      <w:u w:val="none"/>
    </w:rPr>
  </w:style>
  <w:style w:type="character" w:customStyle="1" w:styleId="10">
    <w:name w:val="font11"/>
    <w:basedOn w:val="7"/>
    <w:autoRedefine/>
    <w:qFormat/>
    <w:uiPriority w:val="0"/>
    <w:rPr>
      <w:rFonts w:ascii="微软雅黑" w:hAnsi="微软雅黑" w:eastAsia="微软雅黑" w:cs="微软雅黑"/>
      <w:color w:val="000000"/>
      <w:sz w:val="21"/>
      <w:szCs w:val="21"/>
      <w:u w:val="none"/>
    </w:rPr>
  </w:style>
  <w:style w:type="character" w:customStyle="1" w:styleId="11">
    <w:name w:val="font61"/>
    <w:basedOn w:val="7"/>
    <w:autoRedefine/>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873</Words>
  <Characters>4980</Characters>
  <Lines>41</Lines>
  <Paragraphs>11</Paragraphs>
  <TotalTime>4</TotalTime>
  <ScaleCrop>false</ScaleCrop>
  <LinksUpToDate>false</LinksUpToDate>
  <CharactersWithSpaces>5842</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2024-07-04T07:12:00Z</dcterms:created>
  <dc:creator>Administrator</dc:creator>
  <cp:lastModifiedBy>努力努力再努力的吴小宝</cp:lastModifiedBy>
  <dcterms:modified xsi:type="dcterms:W3CDTF">2024-09-24T07:32:09Z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F315B01AF1444ED6B27C485F4180B5FF_13</vt:lpwstr>
  </property>
</Properties>
</file>