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37B" w:rsidRPr="0012637B" w:rsidRDefault="0012637B" w:rsidP="0012637B">
      <w:pPr>
        <w:widowControl/>
        <w:shd w:val="clear" w:color="auto" w:fill="FFFFFF"/>
        <w:jc w:val="center"/>
        <w:outlineLvl w:val="0"/>
        <w:rPr>
          <w:rFonts w:ascii="微软雅黑" w:eastAsia="微软雅黑" w:hAnsi="微软雅黑" w:cs="宋体"/>
          <w:b/>
          <w:bCs/>
          <w:color w:val="4B4B4B"/>
          <w:kern w:val="36"/>
          <w:sz w:val="30"/>
          <w:szCs w:val="30"/>
        </w:rPr>
      </w:pPr>
      <w:r w:rsidRPr="0012637B">
        <w:rPr>
          <w:rFonts w:ascii="微软雅黑" w:eastAsia="微软雅黑" w:hAnsi="微软雅黑" w:cs="宋体" w:hint="eastAsia"/>
          <w:b/>
          <w:bCs/>
          <w:color w:val="4B4B4B"/>
          <w:kern w:val="36"/>
          <w:sz w:val="30"/>
          <w:szCs w:val="30"/>
        </w:rPr>
        <w:t>教育部关于一流本科课程建设的实施意见</w:t>
      </w:r>
    </w:p>
    <w:p w:rsidR="0012637B" w:rsidRPr="0012637B" w:rsidRDefault="0012637B" w:rsidP="0012637B">
      <w:pPr>
        <w:widowControl/>
        <w:shd w:val="clear" w:color="auto" w:fill="FFFFFF"/>
        <w:spacing w:line="480" w:lineRule="atLeast"/>
        <w:jc w:val="right"/>
        <w:rPr>
          <w:rFonts w:ascii="微软雅黑" w:eastAsia="微软雅黑" w:hAnsi="微软雅黑" w:cs="宋体" w:hint="eastAsia"/>
          <w:color w:val="4B4B4B"/>
          <w:kern w:val="0"/>
          <w:sz w:val="24"/>
          <w:szCs w:val="24"/>
        </w:rPr>
      </w:pPr>
      <w:proofErr w:type="gramStart"/>
      <w:r w:rsidRPr="0012637B">
        <w:rPr>
          <w:rFonts w:ascii="微软雅黑" w:eastAsia="微软雅黑" w:hAnsi="微软雅黑" w:cs="宋体" w:hint="eastAsia"/>
          <w:color w:val="4B4B4B"/>
          <w:kern w:val="0"/>
          <w:sz w:val="24"/>
          <w:szCs w:val="24"/>
        </w:rPr>
        <w:t>教高〔2019〕</w:t>
      </w:r>
      <w:proofErr w:type="gramEnd"/>
      <w:r w:rsidRPr="0012637B">
        <w:rPr>
          <w:rFonts w:ascii="微软雅黑" w:eastAsia="微软雅黑" w:hAnsi="微软雅黑" w:cs="宋体" w:hint="eastAsia"/>
          <w:color w:val="4B4B4B"/>
          <w:kern w:val="0"/>
          <w:sz w:val="24"/>
          <w:szCs w:val="24"/>
        </w:rPr>
        <w:t>8号</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bookmarkStart w:id="0" w:name="_GoBack"/>
      <w:r w:rsidRPr="0012637B">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课程是人才培养的核心要素，课程质量直接决定人才培养质量。为贯彻落</w:t>
      </w:r>
      <w:proofErr w:type="gramStart"/>
      <w:r w:rsidRPr="0012637B">
        <w:rPr>
          <w:rFonts w:ascii="微软雅黑" w:eastAsia="微软雅黑" w:hAnsi="微软雅黑" w:cs="宋体" w:hint="eastAsia"/>
          <w:color w:val="4B4B4B"/>
          <w:kern w:val="0"/>
          <w:sz w:val="27"/>
          <w:szCs w:val="27"/>
        </w:rPr>
        <w:t>实习近</w:t>
      </w:r>
      <w:proofErr w:type="gramEnd"/>
      <w:r w:rsidRPr="0012637B">
        <w:rPr>
          <w:rFonts w:ascii="微软雅黑" w:eastAsia="微软雅黑" w:hAnsi="微软雅黑" w:cs="宋体" w:hint="eastAsia"/>
          <w:color w:val="4B4B4B"/>
          <w:kern w:val="0"/>
          <w:sz w:val="27"/>
          <w:szCs w:val="27"/>
        </w:rPr>
        <w:t>平总书记关于教育的重要论述和全国教育大会精神，落实新时代全国高等学校本科教育工作会议要求，必须深化教育教学改革，必须把教学改革成果落实到课程建设上。现就一流本科课程建设提出如下实施意见。</w:t>
      </w:r>
    </w:p>
    <w:bookmarkEnd w:id="0"/>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w:t>
      </w:r>
      <w:r w:rsidRPr="0012637B">
        <w:rPr>
          <w:rFonts w:ascii="微软雅黑" w:eastAsia="微软雅黑" w:hAnsi="微软雅黑" w:cs="宋体" w:hint="eastAsia"/>
          <w:b/>
          <w:bCs/>
          <w:color w:val="4B4B4B"/>
          <w:kern w:val="0"/>
          <w:sz w:val="27"/>
          <w:szCs w:val="27"/>
          <w:bdr w:val="none" w:sz="0" w:space="0" w:color="auto" w:frame="1"/>
        </w:rPr>
        <w:t>一、总体要求</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（一）指导思想</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以习近平新时代中国特色社会主义思想为指导，贯彻落实党的十九大精神，落实立德树人根本任务，把立德</w:t>
      </w:r>
      <w:proofErr w:type="gramStart"/>
      <w:r w:rsidRPr="0012637B">
        <w:rPr>
          <w:rFonts w:ascii="微软雅黑" w:eastAsia="微软雅黑" w:hAnsi="微软雅黑" w:cs="宋体" w:hint="eastAsia"/>
          <w:color w:val="4B4B4B"/>
          <w:kern w:val="0"/>
          <w:sz w:val="27"/>
          <w:szCs w:val="27"/>
        </w:rPr>
        <w:t>树人成效</w:t>
      </w:r>
      <w:proofErr w:type="gramEnd"/>
      <w:r w:rsidRPr="0012637B">
        <w:rPr>
          <w:rFonts w:ascii="微软雅黑" w:eastAsia="微软雅黑" w:hAnsi="微软雅黑" w:cs="宋体" w:hint="eastAsia"/>
          <w:color w:val="4B4B4B"/>
          <w:kern w:val="0"/>
          <w:sz w:val="27"/>
          <w:szCs w:val="27"/>
        </w:rPr>
        <w:t>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（二）总体目标</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w:t>
      </w:r>
      <w:r w:rsidRPr="0012637B">
        <w:rPr>
          <w:rFonts w:ascii="微软雅黑" w:eastAsia="微软雅黑" w:hAnsi="微软雅黑" w:cs="宋体" w:hint="eastAsia"/>
          <w:color w:val="4B4B4B"/>
          <w:kern w:val="0"/>
          <w:sz w:val="27"/>
          <w:szCs w:val="27"/>
        </w:rPr>
        <w:lastRenderedPageBreak/>
        <w:t>课程体系。经过三年左右时间，建成万门左右国家级和万门左右省级一流本科课程（简称一流本科课程“双万计划”）。</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（三）基本原则</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——坚持分类建设。依据高校办学定位和人才培养目标定位，建设适应创新型、复合型、应用型人才培养需要的一流本科课程，实现不同类型高校一流本科课程建设全覆盖。</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——坚持扶强扶特。着力引导“双一流”建设高校、部省合建高校发挥引领示范作用，重点打造一批高水平课程，为卓越拔尖人才培养提供有力支撑。重点支持已有建设基础、取得明显教学成效的课程，</w:t>
      </w:r>
      <w:proofErr w:type="gramStart"/>
      <w:r w:rsidRPr="0012637B">
        <w:rPr>
          <w:rFonts w:ascii="微软雅黑" w:eastAsia="微软雅黑" w:hAnsi="微软雅黑" w:cs="宋体" w:hint="eastAsia"/>
          <w:color w:val="4B4B4B"/>
          <w:kern w:val="0"/>
          <w:sz w:val="27"/>
          <w:szCs w:val="27"/>
        </w:rPr>
        <w:t>让优的</w:t>
      </w:r>
      <w:proofErr w:type="gramEnd"/>
      <w:r w:rsidRPr="0012637B">
        <w:rPr>
          <w:rFonts w:ascii="微软雅黑" w:eastAsia="微软雅黑" w:hAnsi="微软雅黑" w:cs="宋体" w:hint="eastAsia"/>
          <w:color w:val="4B4B4B"/>
          <w:kern w:val="0"/>
          <w:sz w:val="27"/>
          <w:szCs w:val="27"/>
        </w:rPr>
        <w:t>更优、强的更强。重视特色课程建设，实现一流本科课程多样化。</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提升高阶性。课程目标坚持知识、能力、素质有机融合，培养学生解决复杂问题的综合能力和高级思维。课程内容强调广度和深度，突破习惯性认知模式，培养学生深度分析、大胆质疑、勇于创新的精神和能力。</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——突出创新性。教学内容体现前沿性与时代性，及时将学术研究、科技发展前沿成果引入课程。教学方法体现先进性与互动性，大力推进现代信息技术与教学深度融合，积极引导学生进行探究式与个性化学习。</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增加挑战度。课程设计增加研究性、创新性、综合性内容，加大学生学习投入，科学“增负”，让学生体验“跳一跳才能够得着”的学习挑战。严格考核考试评价，增强学生经过刻苦学习收获能力和素质提高的成就感。</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w:t>
      </w:r>
      <w:r w:rsidRPr="0012637B">
        <w:rPr>
          <w:rFonts w:ascii="微软雅黑" w:eastAsia="微软雅黑" w:hAnsi="微软雅黑" w:cs="宋体" w:hint="eastAsia"/>
          <w:b/>
          <w:bCs/>
          <w:color w:val="4B4B4B"/>
          <w:kern w:val="0"/>
          <w:sz w:val="27"/>
          <w:szCs w:val="27"/>
          <w:bdr w:val="none" w:sz="0" w:space="0" w:color="auto" w:frame="1"/>
        </w:rPr>
        <w:t>二、建设内容</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lastRenderedPageBreak/>
        <w:t xml:space="preserve">　　（一）转变观念，理念新起来。以新理念引领一流本科课程建设。牢固树立“三个不合格”理念，竖起“高压线”，不抓本科教育的高校不是合格的高校，不重视本科教育的书记校长不是合格的书记校长，不参与本科教学的教授不是合格的教授。推动</w:t>
      </w:r>
      <w:proofErr w:type="gramStart"/>
      <w:r w:rsidRPr="0012637B">
        <w:rPr>
          <w:rFonts w:ascii="微软雅黑" w:eastAsia="微软雅黑" w:hAnsi="微软雅黑" w:cs="宋体" w:hint="eastAsia"/>
          <w:color w:val="4B4B4B"/>
          <w:kern w:val="0"/>
          <w:sz w:val="27"/>
          <w:szCs w:val="27"/>
        </w:rPr>
        <w:t>课程思政的</w:t>
      </w:r>
      <w:proofErr w:type="gramEnd"/>
      <w:r w:rsidRPr="0012637B">
        <w:rPr>
          <w:rFonts w:ascii="微软雅黑" w:eastAsia="微软雅黑" w:hAnsi="微软雅黑" w:cs="宋体" w:hint="eastAsia"/>
          <w:color w:val="4B4B4B"/>
          <w:kern w:val="0"/>
          <w:sz w:val="27"/>
          <w:szCs w:val="27"/>
        </w:rPr>
        <w:t>理念形成广泛共识，构建全员全程全方位育人大格局。确立学生中心、产出导向、持续改进的理念，提升课程的高阶性，突出课程的创新性，增加课程的挑战度。</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二）目标导向，课程优起来。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三）提升能力，教师强起来。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w:t>
      </w:r>
      <w:r w:rsidRPr="0012637B">
        <w:rPr>
          <w:rFonts w:ascii="微软雅黑" w:eastAsia="微软雅黑" w:hAnsi="微软雅黑" w:cs="宋体" w:hint="eastAsia"/>
          <w:color w:val="4B4B4B"/>
          <w:kern w:val="0"/>
          <w:sz w:val="27"/>
          <w:szCs w:val="27"/>
        </w:rPr>
        <w:lastRenderedPageBreak/>
        <w:t>新入职教师必须经过助课、试讲、考核等环节，获得教师教学发展中心等学校培训部门颁发的证书，方可主讲课程。实现教师职业培训、终身</w:t>
      </w:r>
      <w:proofErr w:type="gramStart"/>
      <w:r w:rsidRPr="0012637B">
        <w:rPr>
          <w:rFonts w:ascii="微软雅黑" w:eastAsia="微软雅黑" w:hAnsi="微软雅黑" w:cs="宋体" w:hint="eastAsia"/>
          <w:color w:val="4B4B4B"/>
          <w:kern w:val="0"/>
          <w:sz w:val="27"/>
          <w:szCs w:val="27"/>
        </w:rPr>
        <w:t>学习全</w:t>
      </w:r>
      <w:proofErr w:type="gramEnd"/>
      <w:r w:rsidRPr="0012637B">
        <w:rPr>
          <w:rFonts w:ascii="微软雅黑" w:eastAsia="微软雅黑" w:hAnsi="微软雅黑" w:cs="宋体" w:hint="eastAsia"/>
          <w:color w:val="4B4B4B"/>
          <w:kern w:val="0"/>
          <w:sz w:val="27"/>
          <w:szCs w:val="27"/>
        </w:rPr>
        <w:t>覆盖，推动教师培训常态化，将培训学分作为教师资格定期注册、教师考核的必备条件。</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四）改革方法，课堂活起来。以提升教学效果为目的创新教学方法。强化课堂设计，解决好怎么讲好课的问题，杜绝单纯知识传递、忽视能力素质培养的现象。强化现代信息技术与教育教学深度融合，解决好教与</w:t>
      </w:r>
      <w:proofErr w:type="gramStart"/>
      <w:r w:rsidRPr="0012637B">
        <w:rPr>
          <w:rFonts w:ascii="微软雅黑" w:eastAsia="微软雅黑" w:hAnsi="微软雅黑" w:cs="宋体" w:hint="eastAsia"/>
          <w:color w:val="4B4B4B"/>
          <w:kern w:val="0"/>
          <w:sz w:val="27"/>
          <w:szCs w:val="27"/>
        </w:rPr>
        <w:t>学模式</w:t>
      </w:r>
      <w:proofErr w:type="gramEnd"/>
      <w:r w:rsidRPr="0012637B">
        <w:rPr>
          <w:rFonts w:ascii="微软雅黑" w:eastAsia="微软雅黑" w:hAnsi="微软雅黑" w:cs="宋体" w:hint="eastAsia"/>
          <w:color w:val="4B4B4B"/>
          <w:kern w:val="0"/>
          <w:sz w:val="27"/>
          <w:szCs w:val="27"/>
        </w:rPr>
        <w:t>创新的问题，杜绝信息技术应用的简单化、形式化。强化师生互动、生生互动，解决好创新性、批判性思维培养的问题，杜绝教师满堂灌、学生被动听的现象。</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五）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六）强化管理，制度严起来。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w:t>
      </w:r>
      <w:r w:rsidRPr="0012637B">
        <w:rPr>
          <w:rFonts w:ascii="微软雅黑" w:eastAsia="微软雅黑" w:hAnsi="微软雅黑" w:cs="宋体" w:hint="eastAsia"/>
          <w:color w:val="4B4B4B"/>
          <w:kern w:val="0"/>
          <w:sz w:val="27"/>
          <w:szCs w:val="27"/>
        </w:rPr>
        <w:lastRenderedPageBreak/>
        <w:t>业出口关，坚决取消“清考”。严格课程质量评估，在专业认证、教学评估中增加课程评价权重。</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七）政策激励，教学热起来。以教学贡献为核心内容制定激励政策。加大课程建设的支持力度，加大优秀课程和教师的奖励力度，加大教学业绩在专业技术职务评聘中的权重，营造重视本科课程改革与建设的良好氛围。</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w:t>
      </w:r>
      <w:r w:rsidRPr="0012637B">
        <w:rPr>
          <w:rFonts w:ascii="微软雅黑" w:eastAsia="微软雅黑" w:hAnsi="微软雅黑" w:cs="宋体" w:hint="eastAsia"/>
          <w:b/>
          <w:bCs/>
          <w:color w:val="4B4B4B"/>
          <w:kern w:val="0"/>
          <w:sz w:val="27"/>
          <w:szCs w:val="27"/>
          <w:bdr w:val="none" w:sz="0" w:space="0" w:color="auto" w:frame="1"/>
        </w:rPr>
        <w:t>三、实施一流本科</w:t>
      </w:r>
      <w:proofErr w:type="gramStart"/>
      <w:r w:rsidRPr="0012637B">
        <w:rPr>
          <w:rFonts w:ascii="微软雅黑" w:eastAsia="微软雅黑" w:hAnsi="微软雅黑" w:cs="宋体" w:hint="eastAsia"/>
          <w:b/>
          <w:bCs/>
          <w:color w:val="4B4B4B"/>
          <w:kern w:val="0"/>
          <w:sz w:val="27"/>
          <w:szCs w:val="27"/>
          <w:bdr w:val="none" w:sz="0" w:space="0" w:color="auto" w:frame="1"/>
        </w:rPr>
        <w:t>课程双万</w:t>
      </w:r>
      <w:proofErr w:type="gramEnd"/>
      <w:r w:rsidRPr="0012637B">
        <w:rPr>
          <w:rFonts w:ascii="微软雅黑" w:eastAsia="微软雅黑" w:hAnsi="微软雅黑" w:cs="宋体" w:hint="eastAsia"/>
          <w:b/>
          <w:bCs/>
          <w:color w:val="4B4B4B"/>
          <w:kern w:val="0"/>
          <w:sz w:val="27"/>
          <w:szCs w:val="27"/>
          <w:bdr w:val="none" w:sz="0" w:space="0" w:color="auto" w:frame="1"/>
        </w:rPr>
        <w:t>计划</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一）认定万门左右国家级一流本科课程。注重创新型、复合型、应用型人才培养课程建设的创新性、示范引领性和推广性，在高校培育建设基础上，从2019年到2021年，完成4000门左右国家级线上一流课程（国家精品在线开放课程）、4000门左右国家级线下一流课程、6000门左右国家级线上线下混合式一流课程、1500门左右国家虚拟仿真实验教学一流课程、1000门左右国家级社会实践一流课程认定工作，具体推荐认定办法见附件。</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二）认定万门左右省级一流本科课程。各省级教育行政部门根据区域高等教育改革发展需求，参照本实施意见要求，具体组织实施本地区一流本科课程建设计划。推荐国家级一流课程，注重解决本地区高校长期存在的教育教学问题，因地制宜、</w:t>
      </w:r>
      <w:proofErr w:type="gramStart"/>
      <w:r w:rsidRPr="0012637B">
        <w:rPr>
          <w:rFonts w:ascii="微软雅黑" w:eastAsia="微软雅黑" w:hAnsi="微软雅黑" w:cs="宋体" w:hint="eastAsia"/>
          <w:color w:val="4B4B4B"/>
          <w:kern w:val="0"/>
          <w:sz w:val="27"/>
          <w:szCs w:val="27"/>
        </w:rPr>
        <w:t>因校制宜</w:t>
      </w:r>
      <w:proofErr w:type="gramEnd"/>
      <w:r w:rsidRPr="0012637B">
        <w:rPr>
          <w:rFonts w:ascii="微软雅黑" w:eastAsia="微软雅黑" w:hAnsi="微软雅黑" w:cs="宋体" w:hint="eastAsia"/>
          <w:color w:val="4B4B4B"/>
          <w:kern w:val="0"/>
          <w:sz w:val="27"/>
          <w:szCs w:val="27"/>
        </w:rPr>
        <w:t>、</w:t>
      </w:r>
      <w:proofErr w:type="gramStart"/>
      <w:r w:rsidRPr="0012637B">
        <w:rPr>
          <w:rFonts w:ascii="微软雅黑" w:eastAsia="微软雅黑" w:hAnsi="微软雅黑" w:cs="宋体" w:hint="eastAsia"/>
          <w:color w:val="4B4B4B"/>
          <w:kern w:val="0"/>
          <w:sz w:val="27"/>
          <w:szCs w:val="27"/>
        </w:rPr>
        <w:t>因课制宜建设</w:t>
      </w:r>
      <w:proofErr w:type="gramEnd"/>
      <w:r w:rsidRPr="0012637B">
        <w:rPr>
          <w:rFonts w:ascii="微软雅黑" w:eastAsia="微软雅黑" w:hAnsi="微软雅黑" w:cs="宋体" w:hint="eastAsia"/>
          <w:color w:val="4B4B4B"/>
          <w:kern w:val="0"/>
          <w:sz w:val="27"/>
          <w:szCs w:val="27"/>
        </w:rPr>
        <w:t>省级一流本科课程，并报我部备案。</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w:t>
      </w:r>
      <w:r w:rsidRPr="0012637B">
        <w:rPr>
          <w:rFonts w:ascii="微软雅黑" w:eastAsia="微软雅黑" w:hAnsi="微软雅黑" w:cs="宋体" w:hint="eastAsia"/>
          <w:b/>
          <w:bCs/>
          <w:color w:val="4B4B4B"/>
          <w:kern w:val="0"/>
          <w:sz w:val="27"/>
          <w:szCs w:val="27"/>
          <w:bdr w:val="none" w:sz="0" w:space="0" w:color="auto" w:frame="1"/>
        </w:rPr>
        <w:t>四、组织管理</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lastRenderedPageBreak/>
        <w:t xml:space="preserve">　　（一）教育部负责统筹指导一流本科课程建设工作，组织有关专家和机构研究制定一流本科课程建设、应用与管理的相关标准规范。公布国家级一流本科课程推荐认定结果。</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二）省级教育行政部门研究制定省级一流本科课程建设实施方案，制定推动本地区一流本科课程建设与教学改革配套政策，建设省级一流本科课程。加强省级课程服务平台的管理，积极推动一流本科课程开放共享。</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（四）高等学校教学指导委员会要加强课程建设理论研究和分类指导，组织制订相关专业一流本科课程建设指南，引导高校汇聚优秀教师联合建设课程群，共享优质课程资源。</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（五）课程服务平台承担一流本科课程服务和数据安全保障的主体责任，配合开展课程审查和线上教学活动。要不断更新并提升技术和数据服务水平，监控和打击不良学习行为。加强课程平台间的交流与合作。 </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（六）中央部门所属高校统筹利用“中央高校教育教学改革专项”等各类资源支持一流本科课程建设。地方高校统筹地方财政高等教育资金和中央支持地方高校改革发展资金支持一流本科课程建设。</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附件：“双万计划”国家级一流本科课程推荐认定办法</w:t>
      </w:r>
    </w:p>
    <w:p w:rsidR="0012637B" w:rsidRPr="0012637B" w:rsidRDefault="0012637B" w:rsidP="0012637B">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lastRenderedPageBreak/>
        <w:t>教育部</w:t>
      </w:r>
    </w:p>
    <w:p w:rsidR="0012637B" w:rsidRPr="0012637B" w:rsidRDefault="0012637B" w:rsidP="0012637B">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2019年10月24日</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b/>
          <w:bCs/>
          <w:color w:val="4B4B4B"/>
          <w:kern w:val="0"/>
          <w:sz w:val="27"/>
          <w:szCs w:val="27"/>
          <w:bdr w:val="none" w:sz="0" w:space="0" w:color="auto" w:frame="1"/>
        </w:rPr>
        <w:t>附件</w:t>
      </w:r>
    </w:p>
    <w:p w:rsidR="0012637B" w:rsidRPr="0012637B" w:rsidRDefault="0012637B" w:rsidP="0012637B">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b/>
          <w:bCs/>
          <w:color w:val="4B4B4B"/>
          <w:kern w:val="0"/>
          <w:sz w:val="27"/>
          <w:szCs w:val="27"/>
          <w:bdr w:val="none" w:sz="0" w:space="0" w:color="auto" w:frame="1"/>
        </w:rPr>
        <w:t>“双万计划”国家级一流本科课程</w:t>
      </w:r>
    </w:p>
    <w:p w:rsidR="0012637B" w:rsidRPr="0012637B" w:rsidRDefault="0012637B" w:rsidP="0012637B">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b/>
          <w:bCs/>
          <w:color w:val="4B4B4B"/>
          <w:kern w:val="0"/>
          <w:sz w:val="27"/>
          <w:szCs w:val="27"/>
          <w:bdr w:val="none" w:sz="0" w:space="0" w:color="auto" w:frame="1"/>
        </w:rPr>
        <w:t>推荐认定办法</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w:t>
      </w:r>
      <w:r w:rsidRPr="0012637B">
        <w:rPr>
          <w:rFonts w:ascii="微软雅黑" w:eastAsia="微软雅黑" w:hAnsi="微软雅黑" w:cs="宋体" w:hint="eastAsia"/>
          <w:b/>
          <w:bCs/>
          <w:color w:val="4B4B4B"/>
          <w:kern w:val="0"/>
          <w:sz w:val="27"/>
          <w:szCs w:val="27"/>
          <w:bdr w:val="none" w:sz="0" w:space="0" w:color="auto" w:frame="1"/>
        </w:rPr>
        <w:t>一、推荐范围</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普通本科高校纳入人才培养方案且设置学分的本科课程均可推荐，包括思想政治理论课、公共基础课、专业基础课、专业课以及</w:t>
      </w:r>
      <w:proofErr w:type="gramStart"/>
      <w:r w:rsidRPr="0012637B">
        <w:rPr>
          <w:rFonts w:ascii="微软雅黑" w:eastAsia="微软雅黑" w:hAnsi="微软雅黑" w:cs="宋体" w:hint="eastAsia"/>
          <w:color w:val="4B4B4B"/>
          <w:kern w:val="0"/>
          <w:sz w:val="27"/>
          <w:szCs w:val="27"/>
        </w:rPr>
        <w:t>通识课等</w:t>
      </w:r>
      <w:proofErr w:type="gramEnd"/>
      <w:r w:rsidRPr="0012637B">
        <w:rPr>
          <w:rFonts w:ascii="微软雅黑" w:eastAsia="微软雅黑" w:hAnsi="微软雅黑" w:cs="宋体" w:hint="eastAsia"/>
          <w:color w:val="4B4B4B"/>
          <w:kern w:val="0"/>
          <w:sz w:val="27"/>
          <w:szCs w:val="27"/>
        </w:rPr>
        <w:t>独立设置的本科理论课程、实验课程和社会实践课程等。</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w:t>
      </w:r>
      <w:r w:rsidRPr="0012637B">
        <w:rPr>
          <w:rFonts w:ascii="微软雅黑" w:eastAsia="微软雅黑" w:hAnsi="微软雅黑" w:cs="宋体" w:hint="eastAsia"/>
          <w:b/>
          <w:bCs/>
          <w:color w:val="4B4B4B"/>
          <w:kern w:val="0"/>
          <w:sz w:val="27"/>
          <w:szCs w:val="27"/>
          <w:bdr w:val="none" w:sz="0" w:space="0" w:color="auto" w:frame="1"/>
        </w:rPr>
        <w:t>二、推荐类型与计划</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（一）线上一流课程。即国家精品在线开放课程，突出优质、开放、共享，打造</w:t>
      </w:r>
      <w:proofErr w:type="gramStart"/>
      <w:r w:rsidRPr="0012637B">
        <w:rPr>
          <w:rFonts w:ascii="微软雅黑" w:eastAsia="微软雅黑" w:hAnsi="微软雅黑" w:cs="宋体" w:hint="eastAsia"/>
          <w:color w:val="4B4B4B"/>
          <w:kern w:val="0"/>
          <w:sz w:val="27"/>
          <w:szCs w:val="27"/>
        </w:rPr>
        <w:t>中国慕课品牌</w:t>
      </w:r>
      <w:proofErr w:type="gramEnd"/>
      <w:r w:rsidRPr="0012637B">
        <w:rPr>
          <w:rFonts w:ascii="微软雅黑" w:eastAsia="微软雅黑" w:hAnsi="微软雅黑" w:cs="宋体" w:hint="eastAsia"/>
          <w:color w:val="4B4B4B"/>
          <w:kern w:val="0"/>
          <w:sz w:val="27"/>
          <w:szCs w:val="27"/>
        </w:rPr>
        <w:t>。完成4000门左右国家精品在线开放课程认定，构建内容更加丰富、结构更加合理、类别更加全面的国家级</w:t>
      </w:r>
      <w:proofErr w:type="gramStart"/>
      <w:r w:rsidRPr="0012637B">
        <w:rPr>
          <w:rFonts w:ascii="微软雅黑" w:eastAsia="微软雅黑" w:hAnsi="微软雅黑" w:cs="宋体" w:hint="eastAsia"/>
          <w:color w:val="4B4B4B"/>
          <w:kern w:val="0"/>
          <w:sz w:val="27"/>
          <w:szCs w:val="27"/>
        </w:rPr>
        <w:t>精品慕课体系</w:t>
      </w:r>
      <w:proofErr w:type="gramEnd"/>
      <w:r w:rsidRPr="0012637B">
        <w:rPr>
          <w:rFonts w:ascii="微软雅黑" w:eastAsia="微软雅黑" w:hAnsi="微软雅黑" w:cs="宋体" w:hint="eastAsia"/>
          <w:color w:val="4B4B4B"/>
          <w:kern w:val="0"/>
          <w:sz w:val="27"/>
          <w:szCs w:val="27"/>
        </w:rPr>
        <w:t>。</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二）线下一流课程。主要指以面授为主的课程，以提升学生综合能力为重点，重塑课程内容，创新教学方法，打破课堂沉默状态，焕发课堂生机活力，较好发挥课堂教学主阵地、主渠道、主战场作用。认定4000门左右国家级线下一流课程。</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线课</w:t>
      </w:r>
      <w:r w:rsidRPr="0012637B">
        <w:rPr>
          <w:rFonts w:ascii="微软雅黑" w:eastAsia="微软雅黑" w:hAnsi="微软雅黑" w:cs="宋体" w:hint="eastAsia"/>
          <w:color w:val="4B4B4B"/>
          <w:kern w:val="0"/>
          <w:sz w:val="27"/>
          <w:szCs w:val="27"/>
        </w:rPr>
        <w:lastRenderedPageBreak/>
        <w:t>程与本校课堂教学相融合的混合式“金课”。大力倡导基于国家精品在线开放课程应用的线上线下混合式优质课程申报。认定6000门左右国家级线上线下混合式一流课程。</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四）虚拟仿真实验教学一流课程。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w:t>
      </w:r>
      <w:r w:rsidRPr="0012637B">
        <w:rPr>
          <w:rFonts w:ascii="微软雅黑" w:eastAsia="微软雅黑" w:hAnsi="微软雅黑" w:cs="宋体" w:hint="eastAsia"/>
          <w:b/>
          <w:bCs/>
          <w:color w:val="4B4B4B"/>
          <w:kern w:val="0"/>
          <w:sz w:val="27"/>
          <w:szCs w:val="27"/>
          <w:bdr w:val="none" w:sz="0" w:space="0" w:color="auto" w:frame="1"/>
        </w:rPr>
        <w:t>三、推荐条件</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lastRenderedPageBreak/>
        <w:t xml:space="preserve">　　（一）教学理念先进。坚持立德树人，体现以学生发展为中心，致力于开启学生内在潜力和学习动力，注重学生德智体美劳全面发展。</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（三）课程目标有效支撑培养目标达成。课程目标符合学校办学定位和人才培养目标，注重知识、能力、素质培养。</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（四）课程教学设计科学合理。围绕目标达成、教学内容、组织实施和多元评价需求进行整体规划，教学策略、教学方法、教学过程、教学评价等设计合理。</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（六）教学组织与实施突出学生中心地位。根据学生认知规律和接受特点，创新教与学模式，因材施教，促进师生之间、学生之间的交流互动、资源共享、知识生成，教学反馈及时，教学效果显著。</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（七）课程管理与评价科学且可测量。教师备课要求明确，学生学习管理严格。针对教学目标、教学内容、教学组织等采用多元化考核评价，过程可回溯，诊断改进积极有效。教学过程材料完整，可借鉴可监督。</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lastRenderedPageBreak/>
        <w:t xml:space="preserve">　　</w:t>
      </w:r>
      <w:r w:rsidRPr="0012637B">
        <w:rPr>
          <w:rFonts w:ascii="微软雅黑" w:eastAsia="微软雅黑" w:hAnsi="微软雅黑" w:cs="宋体" w:hint="eastAsia"/>
          <w:b/>
          <w:bCs/>
          <w:color w:val="4B4B4B"/>
          <w:kern w:val="0"/>
          <w:sz w:val="27"/>
          <w:szCs w:val="27"/>
          <w:bdr w:val="none" w:sz="0" w:space="0" w:color="auto" w:frame="1"/>
        </w:rPr>
        <w:t>四、推荐方式</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w:t>
      </w:r>
      <w:proofErr w:type="gramStart"/>
      <w:r w:rsidRPr="0012637B">
        <w:rPr>
          <w:rFonts w:ascii="微软雅黑" w:eastAsia="微软雅黑" w:hAnsi="微软雅黑" w:cs="宋体" w:hint="eastAsia"/>
          <w:color w:val="4B4B4B"/>
          <w:kern w:val="0"/>
          <w:sz w:val="27"/>
          <w:szCs w:val="27"/>
        </w:rPr>
        <w:t>除线上</w:t>
      </w:r>
      <w:proofErr w:type="gramEnd"/>
      <w:r w:rsidRPr="0012637B">
        <w:rPr>
          <w:rFonts w:ascii="微软雅黑" w:eastAsia="微软雅黑" w:hAnsi="微软雅黑" w:cs="宋体" w:hint="eastAsia"/>
          <w:color w:val="4B4B4B"/>
          <w:kern w:val="0"/>
          <w:sz w:val="27"/>
          <w:szCs w:val="27"/>
        </w:rPr>
        <w:t>一流课程、虚拟仿真实验教学一流课程继续按有关文件实施外，线下一流课程、线上线下混合式一流课程和社会实践一流课程采用以下推荐方式。</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（一）推荐总额</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教育部按照国家级线下一流课程、线上线下混合式一流课程和社会实践一流课程三年计划总数确定推荐总额，分别下达至中央部门所属高校和各省级教育行政部门。</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（二）分赛道推荐</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按照中央部门所属高校、地方高校的办学定位和培养目标特点分赛道推荐，名额分列。部省合建高校推荐课程纳入中央部门所属高校赛道。</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（三）推荐方式</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（四）推荐材料要求</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课程团队须提交申报书、时长10分钟内的说课视频（包括教学理念、课程设计、课程实施、改革成效等）和其他佐证材料。</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w:t>
      </w:r>
      <w:r w:rsidRPr="0012637B">
        <w:rPr>
          <w:rFonts w:ascii="微软雅黑" w:eastAsia="微软雅黑" w:hAnsi="微软雅黑" w:cs="宋体" w:hint="eastAsia"/>
          <w:b/>
          <w:bCs/>
          <w:color w:val="4B4B4B"/>
          <w:kern w:val="0"/>
          <w:sz w:val="27"/>
          <w:szCs w:val="27"/>
          <w:bdr w:val="none" w:sz="0" w:space="0" w:color="auto" w:frame="1"/>
        </w:rPr>
        <w:t>五、认定方式</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lastRenderedPageBreak/>
        <w:t xml:space="preserve">　　教育部分年度组织专家对推荐课程进行认定，经公示后向社会发布。对课程团队成员存在师德师风问题、学术不端问题、五年内出现过重大教学事故，课程内容存在思想性科学性问题的，实行一票否决。</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w:t>
      </w:r>
      <w:r w:rsidRPr="0012637B">
        <w:rPr>
          <w:rFonts w:ascii="微软雅黑" w:eastAsia="微软雅黑" w:hAnsi="微软雅黑" w:cs="宋体" w:hint="eastAsia"/>
          <w:b/>
          <w:bCs/>
          <w:color w:val="4B4B4B"/>
          <w:kern w:val="0"/>
          <w:sz w:val="27"/>
          <w:szCs w:val="27"/>
          <w:bdr w:val="none" w:sz="0" w:space="0" w:color="auto" w:frame="1"/>
        </w:rPr>
        <w:t>六、认定课程管理</w:t>
      </w:r>
    </w:p>
    <w:p w:rsidR="0012637B" w:rsidRPr="0012637B" w:rsidRDefault="0012637B" w:rsidP="0012637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2637B">
        <w:rPr>
          <w:rFonts w:ascii="微软雅黑" w:eastAsia="微软雅黑" w:hAnsi="微软雅黑" w:cs="宋体" w:hint="eastAsia"/>
          <w:color w:val="4B4B4B"/>
          <w:kern w:val="0"/>
          <w:sz w:val="27"/>
          <w:szCs w:val="27"/>
        </w:rPr>
        <w:t xml:space="preserve">　　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rsidR="00293F7E" w:rsidRDefault="00293F7E">
      <w:pPr>
        <w:rPr>
          <w:rFonts w:hint="eastAsia"/>
        </w:rPr>
      </w:pPr>
    </w:p>
    <w:sectPr w:rsidR="00293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81"/>
    <w:rsid w:val="0012637B"/>
    <w:rsid w:val="00293F7E"/>
    <w:rsid w:val="00CD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263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637B"/>
    <w:rPr>
      <w:rFonts w:ascii="宋体" w:eastAsia="宋体" w:hAnsi="宋体" w:cs="宋体"/>
      <w:b/>
      <w:bCs/>
      <w:kern w:val="36"/>
      <w:sz w:val="48"/>
      <w:szCs w:val="48"/>
    </w:rPr>
  </w:style>
  <w:style w:type="paragraph" w:styleId="a3">
    <w:name w:val="Normal (Web)"/>
    <w:basedOn w:val="a"/>
    <w:uiPriority w:val="99"/>
    <w:semiHidden/>
    <w:unhideWhenUsed/>
    <w:rsid w:val="0012637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263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637B"/>
    <w:rPr>
      <w:rFonts w:ascii="宋体" w:eastAsia="宋体" w:hAnsi="宋体" w:cs="宋体"/>
      <w:b/>
      <w:bCs/>
      <w:kern w:val="36"/>
      <w:sz w:val="48"/>
      <w:szCs w:val="48"/>
    </w:rPr>
  </w:style>
  <w:style w:type="paragraph" w:styleId="a3">
    <w:name w:val="Normal (Web)"/>
    <w:basedOn w:val="a"/>
    <w:uiPriority w:val="99"/>
    <w:semiHidden/>
    <w:unhideWhenUsed/>
    <w:rsid w:val="001263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13035">
      <w:bodyDiv w:val="1"/>
      <w:marLeft w:val="0"/>
      <w:marRight w:val="0"/>
      <w:marTop w:val="0"/>
      <w:marBottom w:val="0"/>
      <w:divBdr>
        <w:top w:val="none" w:sz="0" w:space="0" w:color="auto"/>
        <w:left w:val="none" w:sz="0" w:space="0" w:color="auto"/>
        <w:bottom w:val="none" w:sz="0" w:space="0" w:color="auto"/>
        <w:right w:val="none" w:sz="0" w:space="0" w:color="auto"/>
      </w:divBdr>
      <w:divsChild>
        <w:div w:id="37435036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dc:creator>
  <cp:keywords/>
  <dc:description/>
  <cp:lastModifiedBy>402</cp:lastModifiedBy>
  <cp:revision>3</cp:revision>
  <cp:lastPrinted>2019-12-11T01:48:00Z</cp:lastPrinted>
  <dcterms:created xsi:type="dcterms:W3CDTF">2019-12-11T01:44:00Z</dcterms:created>
  <dcterms:modified xsi:type="dcterms:W3CDTF">2019-12-11T01:49:00Z</dcterms:modified>
</cp:coreProperties>
</file>